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258F2" w14:textId="38B2E058" w:rsidR="005E1DA6" w:rsidRDefault="005E1DA6" w:rsidP="0032105C">
      <w:pPr>
        <w:rPr>
          <w:b/>
          <w:sz w:val="20"/>
        </w:rPr>
      </w:pPr>
    </w:p>
    <w:p w14:paraId="39C3A104" w14:textId="534D3E91" w:rsidR="000D1CEE" w:rsidRPr="00B058D6" w:rsidRDefault="00B058D6" w:rsidP="000D1CEE">
      <w:pPr>
        <w:jc w:val="center"/>
        <w:rPr>
          <w:rFonts w:cs="Arial"/>
          <w:b/>
          <w:sz w:val="24"/>
          <w:szCs w:val="24"/>
        </w:rPr>
      </w:pPr>
      <w:r w:rsidRPr="00B058D6">
        <w:rPr>
          <w:rFonts w:cs="Arial"/>
          <w:b/>
          <w:sz w:val="24"/>
          <w:szCs w:val="24"/>
        </w:rPr>
        <w:t xml:space="preserve">Schedule </w:t>
      </w:r>
      <w:r w:rsidR="001A3907">
        <w:rPr>
          <w:rFonts w:cs="Arial"/>
          <w:b/>
          <w:sz w:val="24"/>
          <w:szCs w:val="24"/>
        </w:rPr>
        <w:t>14</w:t>
      </w:r>
      <w:r w:rsidR="004F6333">
        <w:rPr>
          <w:rFonts w:cs="Arial"/>
          <w:b/>
          <w:sz w:val="24"/>
          <w:szCs w:val="24"/>
        </w:rPr>
        <w:t xml:space="preserve"> </w:t>
      </w:r>
      <w:r w:rsidRPr="00B058D6">
        <w:rPr>
          <w:rFonts w:cs="Arial"/>
          <w:b/>
          <w:sz w:val="24"/>
          <w:szCs w:val="24"/>
        </w:rPr>
        <w:t xml:space="preserve">- </w:t>
      </w:r>
      <w:r w:rsidR="000D1CEE" w:rsidRPr="00B058D6">
        <w:rPr>
          <w:rFonts w:cs="Arial"/>
          <w:b/>
          <w:sz w:val="24"/>
          <w:szCs w:val="24"/>
        </w:rPr>
        <w:t>Key Performance Indicator</w:t>
      </w:r>
      <w:r w:rsidR="002E0926" w:rsidRPr="00B058D6">
        <w:rPr>
          <w:rFonts w:cs="Arial"/>
          <w:b/>
          <w:sz w:val="24"/>
          <w:szCs w:val="24"/>
        </w:rPr>
        <w:t>s</w:t>
      </w:r>
      <w:r w:rsidR="004F6333">
        <w:rPr>
          <w:rFonts w:cs="Arial"/>
          <w:b/>
          <w:sz w:val="24"/>
          <w:szCs w:val="24"/>
        </w:rPr>
        <w:t xml:space="preserve"> (KPIs)</w:t>
      </w:r>
    </w:p>
    <w:p w14:paraId="4B820788" w14:textId="77777777" w:rsidR="00644CA4" w:rsidRPr="00374332" w:rsidRDefault="00644CA4" w:rsidP="000D1CEE">
      <w:pPr>
        <w:jc w:val="center"/>
        <w:rPr>
          <w:rFonts w:cs="Arial"/>
          <w:b/>
          <w:u w:val="single"/>
        </w:rPr>
      </w:pPr>
    </w:p>
    <w:p w14:paraId="4F3B6871" w14:textId="77777777" w:rsidR="00644CA4" w:rsidRDefault="00644CA4" w:rsidP="00644CA4">
      <w:pPr>
        <w:keepNext/>
        <w:suppressAutoHyphens/>
        <w:spacing w:before="120" w:after="240"/>
        <w:jc w:val="both"/>
        <w:outlineLvl w:val="1"/>
        <w:rPr>
          <w:rFonts w:cs="Arial"/>
          <w:b/>
          <w:kern w:val="0"/>
          <w:szCs w:val="22"/>
          <w:lang w:eastAsia="en-GB"/>
        </w:rPr>
      </w:pPr>
      <w:r>
        <w:rPr>
          <w:rFonts w:cs="Arial"/>
          <w:b/>
          <w:szCs w:val="22"/>
        </w:rPr>
        <w:t>1.</w:t>
      </w:r>
      <w:r>
        <w:rPr>
          <w:rFonts w:cs="Arial"/>
          <w:b/>
          <w:szCs w:val="22"/>
        </w:rPr>
        <w:tab/>
        <w:t>Performance Measurement and Retention of Payment</w:t>
      </w:r>
    </w:p>
    <w:p w14:paraId="35229D07" w14:textId="77777777" w:rsidR="00644CA4" w:rsidRDefault="00644CA4" w:rsidP="00644CA4">
      <w:pPr>
        <w:jc w:val="both"/>
        <w:rPr>
          <w:rFonts w:cs="Arial"/>
          <w:color w:val="FF0000"/>
          <w:sz w:val="20"/>
        </w:rPr>
      </w:pPr>
      <w:r>
        <w:rPr>
          <w:rFonts w:cs="Arial"/>
          <w:sz w:val="20"/>
        </w:rPr>
        <w:t>1.1</w:t>
      </w:r>
      <w:r>
        <w:rPr>
          <w:rFonts w:cs="Arial"/>
          <w:sz w:val="20"/>
        </w:rPr>
        <w:tab/>
        <w:t>The Contractor's performance in terms of meeting the required level of service, including any faults encountered will be measured under the arrangements detailed in Clause 1.2 below and reviewed by the Contractor, Authority and User at the Quarterly Progress Meetings. Where faults have been identified, the onus is on the Contractor to demonstrate to the Authority’s satisfaction that any faults or failure are not attributable to it.</w:t>
      </w:r>
    </w:p>
    <w:p w14:paraId="0BEEF78D" w14:textId="77777777" w:rsidR="00644CA4" w:rsidRDefault="00644CA4" w:rsidP="00644CA4">
      <w:pPr>
        <w:ind w:left="720"/>
        <w:jc w:val="both"/>
        <w:rPr>
          <w:rFonts w:cs="Arial"/>
          <w:sz w:val="20"/>
        </w:rPr>
      </w:pPr>
    </w:p>
    <w:p w14:paraId="699BA62D" w14:textId="77777777" w:rsidR="00644CA4" w:rsidRDefault="00644CA4" w:rsidP="00644CA4">
      <w:pPr>
        <w:jc w:val="both"/>
        <w:rPr>
          <w:rFonts w:cs="Arial"/>
          <w:sz w:val="20"/>
        </w:rPr>
      </w:pPr>
      <w:r>
        <w:rPr>
          <w:rFonts w:cs="Arial"/>
          <w:sz w:val="20"/>
        </w:rPr>
        <w:t>1.2</w:t>
      </w:r>
      <w:r>
        <w:rPr>
          <w:rFonts w:cs="Arial"/>
          <w:sz w:val="20"/>
        </w:rPr>
        <w:tab/>
        <w:t>In the event that in any given quarter the Contractor fails to meet the required level of performance against Table 1 below, the Authority shall have the right to make the following deductions under Table 2:</w:t>
      </w:r>
    </w:p>
    <w:p w14:paraId="2104E880" w14:textId="0FE2F8B6" w:rsidR="000D1CEE" w:rsidRDefault="000D1CEE" w:rsidP="000D1CEE">
      <w:pPr>
        <w:jc w:val="center"/>
        <w:rPr>
          <w:rFonts w:cs="Arial"/>
          <w:b/>
        </w:rPr>
      </w:pPr>
    </w:p>
    <w:p w14:paraId="116C1D36" w14:textId="0A641FD8" w:rsidR="006807EF" w:rsidRPr="00374332" w:rsidRDefault="006807EF" w:rsidP="006807EF">
      <w:pPr>
        <w:rPr>
          <w:rFonts w:cs="Arial"/>
          <w:b/>
        </w:rPr>
      </w:pPr>
      <w:r>
        <w:rPr>
          <w:rFonts w:cs="Arial"/>
          <w:b/>
        </w:rPr>
        <w:t>Table 1 – KPI Criteria</w:t>
      </w:r>
    </w:p>
    <w:p w14:paraId="54584C5E" w14:textId="77777777" w:rsidR="000D1CEE" w:rsidRPr="00374332" w:rsidRDefault="000D1CEE" w:rsidP="000D1CEE">
      <w:pPr>
        <w:rPr>
          <w:rFonts w:cs="Arial"/>
          <w:b/>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2244"/>
        <w:gridCol w:w="3201"/>
        <w:gridCol w:w="3807"/>
        <w:gridCol w:w="4394"/>
      </w:tblGrid>
      <w:tr w:rsidR="00217C84" w:rsidRPr="00881DC8" w14:paraId="77DF5A41" w14:textId="77777777" w:rsidTr="0069524A">
        <w:tc>
          <w:tcPr>
            <w:tcW w:w="808" w:type="dxa"/>
            <w:shd w:val="clear" w:color="auto" w:fill="D9D9D9" w:themeFill="background1" w:themeFillShade="D9"/>
            <w:vAlign w:val="center"/>
          </w:tcPr>
          <w:p w14:paraId="5A769221" w14:textId="77777777" w:rsidR="00217C84" w:rsidRPr="00881DC8" w:rsidRDefault="00217C84" w:rsidP="001E1AB9">
            <w:pPr>
              <w:jc w:val="center"/>
              <w:rPr>
                <w:rFonts w:cs="Arial"/>
                <w:b/>
                <w:sz w:val="20"/>
                <w:szCs w:val="22"/>
              </w:rPr>
            </w:pPr>
            <w:r w:rsidRPr="00881DC8">
              <w:rPr>
                <w:rFonts w:eastAsia="Arial" w:cs="Arial"/>
                <w:b/>
                <w:sz w:val="20"/>
                <w:szCs w:val="22"/>
              </w:rPr>
              <w:t>KPI</w:t>
            </w:r>
          </w:p>
        </w:tc>
        <w:tc>
          <w:tcPr>
            <w:tcW w:w="2244" w:type="dxa"/>
            <w:shd w:val="clear" w:color="auto" w:fill="D9D9D9" w:themeFill="background1" w:themeFillShade="D9"/>
            <w:vAlign w:val="center"/>
          </w:tcPr>
          <w:p w14:paraId="11D0EFFB" w14:textId="77777777" w:rsidR="00217C84" w:rsidRPr="00881DC8" w:rsidRDefault="00217C84" w:rsidP="001E1AB9">
            <w:pPr>
              <w:jc w:val="center"/>
              <w:rPr>
                <w:rFonts w:cs="Arial"/>
                <w:b/>
                <w:sz w:val="20"/>
                <w:szCs w:val="22"/>
              </w:rPr>
            </w:pPr>
            <w:r w:rsidRPr="00881DC8">
              <w:rPr>
                <w:rFonts w:eastAsia="Arial" w:cs="Arial"/>
                <w:b/>
                <w:sz w:val="20"/>
                <w:szCs w:val="22"/>
              </w:rPr>
              <w:t>Title</w:t>
            </w:r>
          </w:p>
        </w:tc>
        <w:tc>
          <w:tcPr>
            <w:tcW w:w="3201" w:type="dxa"/>
            <w:shd w:val="clear" w:color="auto" w:fill="D9D9D9" w:themeFill="background1" w:themeFillShade="D9"/>
            <w:vAlign w:val="center"/>
          </w:tcPr>
          <w:p w14:paraId="17932A8E" w14:textId="77777777" w:rsidR="00217C84" w:rsidRPr="00881DC8" w:rsidRDefault="00217C84" w:rsidP="001E1AB9">
            <w:pPr>
              <w:jc w:val="center"/>
              <w:rPr>
                <w:rFonts w:cs="Arial"/>
                <w:b/>
                <w:sz w:val="20"/>
                <w:szCs w:val="22"/>
              </w:rPr>
            </w:pPr>
            <w:r w:rsidRPr="00881DC8">
              <w:rPr>
                <w:rFonts w:eastAsia="Arial" w:cs="Arial"/>
                <w:b/>
                <w:sz w:val="20"/>
                <w:szCs w:val="22"/>
              </w:rPr>
              <w:t>Description</w:t>
            </w:r>
          </w:p>
        </w:tc>
        <w:tc>
          <w:tcPr>
            <w:tcW w:w="3807" w:type="dxa"/>
            <w:shd w:val="clear" w:color="auto" w:fill="D9D9D9" w:themeFill="background1" w:themeFillShade="D9"/>
            <w:vAlign w:val="center"/>
          </w:tcPr>
          <w:p w14:paraId="03D4502C" w14:textId="77777777" w:rsidR="00217C84" w:rsidRPr="00881DC8" w:rsidRDefault="00217C84" w:rsidP="001E1AB9">
            <w:pPr>
              <w:jc w:val="center"/>
              <w:rPr>
                <w:rFonts w:cs="Arial"/>
                <w:b/>
                <w:sz w:val="20"/>
                <w:szCs w:val="22"/>
              </w:rPr>
            </w:pPr>
            <w:r w:rsidRPr="00881DC8">
              <w:rPr>
                <w:rFonts w:eastAsia="Arial" w:cs="Arial"/>
                <w:b/>
                <w:sz w:val="20"/>
                <w:szCs w:val="22"/>
              </w:rPr>
              <w:t>Required Performance</w:t>
            </w:r>
          </w:p>
        </w:tc>
        <w:tc>
          <w:tcPr>
            <w:tcW w:w="4394" w:type="dxa"/>
            <w:shd w:val="clear" w:color="auto" w:fill="D9D9D9" w:themeFill="background1" w:themeFillShade="D9"/>
            <w:vAlign w:val="center"/>
          </w:tcPr>
          <w:p w14:paraId="03145F83" w14:textId="31DD6CDC" w:rsidR="0069524A" w:rsidRPr="00881DC8" w:rsidRDefault="0069524A" w:rsidP="001E1AB9">
            <w:pPr>
              <w:jc w:val="center"/>
              <w:rPr>
                <w:rFonts w:cs="Arial"/>
                <w:b/>
                <w:sz w:val="20"/>
                <w:szCs w:val="22"/>
              </w:rPr>
            </w:pPr>
            <w:r w:rsidRPr="00881DC8">
              <w:rPr>
                <w:rFonts w:eastAsia="Arial" w:cs="Arial"/>
                <w:b/>
                <w:sz w:val="20"/>
                <w:szCs w:val="22"/>
              </w:rPr>
              <w:t>Required Performance</w:t>
            </w:r>
            <w:r w:rsidRPr="00881DC8">
              <w:rPr>
                <w:rFonts w:cs="Arial"/>
                <w:b/>
                <w:sz w:val="20"/>
                <w:szCs w:val="22"/>
              </w:rPr>
              <w:t xml:space="preserve"> </w:t>
            </w:r>
          </w:p>
        </w:tc>
      </w:tr>
      <w:tr w:rsidR="00217C84" w:rsidRPr="00881DC8" w14:paraId="3E3CBDF6" w14:textId="77777777" w:rsidTr="00217C84">
        <w:trPr>
          <w:trHeight w:val="1266"/>
        </w:trPr>
        <w:tc>
          <w:tcPr>
            <w:tcW w:w="808" w:type="dxa"/>
            <w:shd w:val="clear" w:color="auto" w:fill="auto"/>
          </w:tcPr>
          <w:p w14:paraId="5C6199E8" w14:textId="77777777" w:rsidR="00217C84" w:rsidRPr="0001730B" w:rsidRDefault="00217C84" w:rsidP="00217C84">
            <w:pPr>
              <w:jc w:val="center"/>
              <w:rPr>
                <w:b/>
                <w:sz w:val="20"/>
              </w:rPr>
            </w:pPr>
          </w:p>
          <w:p w14:paraId="40E0BD8B" w14:textId="47C39BF0" w:rsidR="00217C84" w:rsidRPr="00881DC8" w:rsidRDefault="00217C84" w:rsidP="00217C84">
            <w:pPr>
              <w:jc w:val="center"/>
              <w:rPr>
                <w:rFonts w:eastAsia="Arial" w:cs="Arial"/>
                <w:sz w:val="20"/>
                <w:szCs w:val="22"/>
              </w:rPr>
            </w:pPr>
            <w:r>
              <w:rPr>
                <w:rFonts w:eastAsia="Arial" w:cs="Arial"/>
                <w:sz w:val="20"/>
                <w:szCs w:val="22"/>
              </w:rPr>
              <w:t>1</w:t>
            </w:r>
          </w:p>
        </w:tc>
        <w:tc>
          <w:tcPr>
            <w:tcW w:w="2244" w:type="dxa"/>
            <w:shd w:val="clear" w:color="auto" w:fill="auto"/>
          </w:tcPr>
          <w:p w14:paraId="4A53DED7" w14:textId="77777777" w:rsidR="00217C84" w:rsidRPr="00EC27FA" w:rsidRDefault="00217C84" w:rsidP="00217C84">
            <w:pPr>
              <w:rPr>
                <w:sz w:val="20"/>
              </w:rPr>
            </w:pPr>
          </w:p>
          <w:p w14:paraId="08D448A7" w14:textId="0E98ADFB" w:rsidR="00217C84" w:rsidRPr="00EC27FA" w:rsidRDefault="00217C84" w:rsidP="00217C84">
            <w:pPr>
              <w:rPr>
                <w:rFonts w:eastAsia="Arial" w:cs="Arial"/>
                <w:sz w:val="20"/>
                <w:szCs w:val="22"/>
              </w:rPr>
            </w:pPr>
            <w:r w:rsidRPr="00EC27FA">
              <w:rPr>
                <w:sz w:val="20"/>
              </w:rPr>
              <w:t>Quarterly Progress Meetings (QPM)</w:t>
            </w:r>
          </w:p>
        </w:tc>
        <w:tc>
          <w:tcPr>
            <w:tcW w:w="3201" w:type="dxa"/>
            <w:shd w:val="clear" w:color="auto" w:fill="auto"/>
          </w:tcPr>
          <w:p w14:paraId="125741CA" w14:textId="77777777" w:rsidR="00217C84" w:rsidRDefault="00217C84" w:rsidP="00217C84">
            <w:pPr>
              <w:rPr>
                <w:sz w:val="20"/>
              </w:rPr>
            </w:pPr>
          </w:p>
          <w:p w14:paraId="3883A06D" w14:textId="77777777" w:rsidR="00217C84" w:rsidRDefault="00217C84" w:rsidP="00217C84">
            <w:pPr>
              <w:rPr>
                <w:sz w:val="20"/>
              </w:rPr>
            </w:pPr>
            <w:r>
              <w:rPr>
                <w:sz w:val="20"/>
              </w:rPr>
              <w:t>The i</w:t>
            </w:r>
            <w:r w:rsidRPr="00B44ACC">
              <w:rPr>
                <w:sz w:val="20"/>
              </w:rPr>
              <w:t xml:space="preserve">nformation required for each </w:t>
            </w:r>
            <w:r>
              <w:rPr>
                <w:sz w:val="20"/>
              </w:rPr>
              <w:t xml:space="preserve">QPM </w:t>
            </w:r>
            <w:r w:rsidRPr="00B44ACC">
              <w:rPr>
                <w:sz w:val="20"/>
              </w:rPr>
              <w:t>i.e. Q</w:t>
            </w:r>
            <w:r>
              <w:rPr>
                <w:sz w:val="20"/>
              </w:rPr>
              <w:t xml:space="preserve">uarterly </w:t>
            </w:r>
            <w:r w:rsidRPr="00B44ACC">
              <w:rPr>
                <w:sz w:val="20"/>
              </w:rPr>
              <w:t>P</w:t>
            </w:r>
            <w:r>
              <w:rPr>
                <w:sz w:val="20"/>
              </w:rPr>
              <w:t xml:space="preserve">rogress </w:t>
            </w:r>
            <w:r w:rsidRPr="00B44ACC">
              <w:rPr>
                <w:sz w:val="20"/>
              </w:rPr>
              <w:t>R</w:t>
            </w:r>
            <w:r>
              <w:rPr>
                <w:sz w:val="20"/>
              </w:rPr>
              <w:t xml:space="preserve">eport (QPR), Agenda, Actions Log and previous QPM Minutes shall </w:t>
            </w:r>
            <w:r w:rsidRPr="00B44ACC">
              <w:rPr>
                <w:sz w:val="20"/>
              </w:rPr>
              <w:t>be provided by the Contractor to the Authority.</w:t>
            </w:r>
          </w:p>
          <w:p w14:paraId="2CAE385C" w14:textId="77777777" w:rsidR="00217C84" w:rsidRDefault="00217C84" w:rsidP="00217C84">
            <w:pPr>
              <w:rPr>
                <w:sz w:val="20"/>
              </w:rPr>
            </w:pPr>
          </w:p>
          <w:p w14:paraId="32B4F531" w14:textId="77777777" w:rsidR="00217C84" w:rsidRDefault="00217C84" w:rsidP="00217C84">
            <w:pPr>
              <w:rPr>
                <w:sz w:val="20"/>
              </w:rPr>
            </w:pPr>
            <w:r w:rsidRPr="00B32E0B">
              <w:rPr>
                <w:sz w:val="20"/>
              </w:rPr>
              <w:t>The information shall be of the required format and quality as defined in the Statement of Requirement.</w:t>
            </w:r>
          </w:p>
          <w:p w14:paraId="52F3E943" w14:textId="77777777" w:rsidR="00217C84" w:rsidRPr="00881DC8" w:rsidRDefault="00217C84" w:rsidP="00217C84">
            <w:pPr>
              <w:jc w:val="both"/>
              <w:rPr>
                <w:rFonts w:cs="Arial"/>
                <w:sz w:val="20"/>
                <w:szCs w:val="22"/>
              </w:rPr>
            </w:pPr>
          </w:p>
        </w:tc>
        <w:tc>
          <w:tcPr>
            <w:tcW w:w="3807" w:type="dxa"/>
            <w:shd w:val="clear" w:color="auto" w:fill="auto"/>
          </w:tcPr>
          <w:p w14:paraId="632F357C" w14:textId="77777777" w:rsidR="00217C84" w:rsidRDefault="00217C84" w:rsidP="00217C84">
            <w:pPr>
              <w:rPr>
                <w:sz w:val="20"/>
              </w:rPr>
            </w:pPr>
          </w:p>
          <w:p w14:paraId="2523CA56" w14:textId="74710447" w:rsidR="00217C84" w:rsidRDefault="00217C84" w:rsidP="00217C84">
            <w:pPr>
              <w:rPr>
                <w:sz w:val="20"/>
              </w:rPr>
            </w:pPr>
            <w:r>
              <w:rPr>
                <w:sz w:val="20"/>
              </w:rPr>
              <w:t xml:space="preserve">The </w:t>
            </w:r>
            <w:r w:rsidRPr="00B44ACC">
              <w:rPr>
                <w:sz w:val="20"/>
              </w:rPr>
              <w:t>Q</w:t>
            </w:r>
            <w:r>
              <w:rPr>
                <w:sz w:val="20"/>
              </w:rPr>
              <w:t xml:space="preserve">PR, QPM Agenda, Actions Log and previous QPM Minutes </w:t>
            </w:r>
            <w:r w:rsidRPr="00B44ACC">
              <w:rPr>
                <w:sz w:val="20"/>
              </w:rPr>
              <w:t>shall be p</w:t>
            </w:r>
            <w:r>
              <w:rPr>
                <w:sz w:val="20"/>
              </w:rPr>
              <w:t>r</w:t>
            </w:r>
            <w:r w:rsidRPr="00B44ACC">
              <w:rPr>
                <w:sz w:val="20"/>
              </w:rPr>
              <w:t xml:space="preserve">ovided within </w:t>
            </w:r>
            <w:r>
              <w:rPr>
                <w:sz w:val="20"/>
              </w:rPr>
              <w:t xml:space="preserve">ten (10) </w:t>
            </w:r>
            <w:r w:rsidR="00EF19CD">
              <w:rPr>
                <w:sz w:val="20"/>
              </w:rPr>
              <w:t>Business Days</w:t>
            </w:r>
            <w:r w:rsidRPr="00B44ACC">
              <w:rPr>
                <w:sz w:val="20"/>
              </w:rPr>
              <w:t xml:space="preserve"> prior to each </w:t>
            </w:r>
            <w:r>
              <w:rPr>
                <w:sz w:val="20"/>
              </w:rPr>
              <w:t>QPM.</w:t>
            </w:r>
          </w:p>
          <w:p w14:paraId="69161B7C" w14:textId="77777777" w:rsidR="00217C84" w:rsidRDefault="00217C84" w:rsidP="00217C84">
            <w:pPr>
              <w:rPr>
                <w:sz w:val="20"/>
              </w:rPr>
            </w:pPr>
          </w:p>
          <w:p w14:paraId="10294083" w14:textId="4A94E6DF" w:rsidR="00217C84" w:rsidRDefault="00217C84" w:rsidP="00217C84">
            <w:pPr>
              <w:rPr>
                <w:sz w:val="20"/>
              </w:rPr>
            </w:pPr>
            <w:r w:rsidRPr="00B32E0B">
              <w:rPr>
                <w:sz w:val="20"/>
              </w:rPr>
              <w:t xml:space="preserve">100% of those rejected by the Authority shall be amended by the </w:t>
            </w:r>
            <w:r w:rsidR="004F6333">
              <w:rPr>
                <w:sz w:val="20"/>
              </w:rPr>
              <w:t>C</w:t>
            </w:r>
            <w:r w:rsidRPr="00B32E0B">
              <w:rPr>
                <w:sz w:val="20"/>
              </w:rPr>
              <w:t xml:space="preserve">ontractor and returned to the Authority within </w:t>
            </w:r>
            <w:r w:rsidR="004F6333">
              <w:rPr>
                <w:sz w:val="20"/>
              </w:rPr>
              <w:t>five</w:t>
            </w:r>
            <w:r w:rsidRPr="00B32E0B">
              <w:rPr>
                <w:sz w:val="20"/>
              </w:rPr>
              <w:t xml:space="preserve"> (</w:t>
            </w:r>
            <w:r w:rsidR="004F6333">
              <w:rPr>
                <w:sz w:val="20"/>
              </w:rPr>
              <w:t>5</w:t>
            </w:r>
            <w:r w:rsidRPr="00B32E0B">
              <w:rPr>
                <w:sz w:val="20"/>
              </w:rPr>
              <w:t>)</w:t>
            </w:r>
            <w:r w:rsidR="004F6333">
              <w:rPr>
                <w:sz w:val="20"/>
              </w:rPr>
              <w:t xml:space="preserve"> </w:t>
            </w:r>
            <w:r w:rsidR="00EF19CD">
              <w:rPr>
                <w:sz w:val="20"/>
              </w:rPr>
              <w:t>Business Days</w:t>
            </w:r>
            <w:r w:rsidR="004F6333">
              <w:rPr>
                <w:sz w:val="20"/>
              </w:rPr>
              <w:t xml:space="preserve"> of request</w:t>
            </w:r>
            <w:r w:rsidRPr="00B32E0B">
              <w:rPr>
                <w:sz w:val="20"/>
              </w:rPr>
              <w:t>.</w:t>
            </w:r>
          </w:p>
          <w:p w14:paraId="41DC5223" w14:textId="77777777" w:rsidR="00217C84" w:rsidRDefault="00217C84" w:rsidP="00217C84">
            <w:pPr>
              <w:jc w:val="both"/>
              <w:rPr>
                <w:rFonts w:eastAsia="Arial" w:cs="Arial"/>
                <w:sz w:val="20"/>
                <w:szCs w:val="22"/>
              </w:rPr>
            </w:pPr>
          </w:p>
          <w:p w14:paraId="2B4724B8" w14:textId="77777777" w:rsidR="004F6333" w:rsidRDefault="004F6333" w:rsidP="00217C84">
            <w:pPr>
              <w:jc w:val="both"/>
              <w:rPr>
                <w:rFonts w:eastAsia="Arial" w:cs="Arial"/>
                <w:sz w:val="20"/>
                <w:szCs w:val="22"/>
              </w:rPr>
            </w:pPr>
          </w:p>
          <w:p w14:paraId="72488AD3" w14:textId="43316FAD" w:rsidR="004F6333" w:rsidRPr="00881DC8" w:rsidRDefault="004F6333" w:rsidP="004F6333">
            <w:pPr>
              <w:jc w:val="both"/>
              <w:rPr>
                <w:rFonts w:eastAsia="Arial" w:cs="Arial"/>
                <w:sz w:val="20"/>
                <w:szCs w:val="22"/>
              </w:rPr>
            </w:pPr>
          </w:p>
        </w:tc>
        <w:tc>
          <w:tcPr>
            <w:tcW w:w="4394" w:type="dxa"/>
            <w:shd w:val="clear" w:color="auto" w:fill="auto"/>
          </w:tcPr>
          <w:p w14:paraId="199C9A9D" w14:textId="77777777" w:rsidR="00217C84" w:rsidRDefault="00217C84" w:rsidP="00217C84">
            <w:pPr>
              <w:rPr>
                <w:sz w:val="20"/>
              </w:rPr>
            </w:pPr>
          </w:p>
          <w:p w14:paraId="6402B889" w14:textId="27E43548" w:rsidR="00217C84" w:rsidRPr="00881DC8" w:rsidRDefault="00217C84" w:rsidP="00217C84">
            <w:pPr>
              <w:rPr>
                <w:rFonts w:eastAsia="Arial" w:cs="Arial"/>
                <w:sz w:val="20"/>
                <w:szCs w:val="22"/>
              </w:rPr>
            </w:pPr>
            <w:r>
              <w:rPr>
                <w:sz w:val="20"/>
              </w:rPr>
              <w:t xml:space="preserve">The Contractor shall report against this KPI at each Quarterly Review Meeting. This will be cross checked with the Authority’s record of Contractor performance against this KPI. Where a discrepancy arises, the Authority’s record shall take precedence.  </w:t>
            </w:r>
          </w:p>
        </w:tc>
      </w:tr>
      <w:tr w:rsidR="00EE6815" w:rsidRPr="00881DC8" w14:paraId="56545BF9" w14:textId="77777777" w:rsidTr="003D11AE">
        <w:trPr>
          <w:trHeight w:val="632"/>
        </w:trPr>
        <w:tc>
          <w:tcPr>
            <w:tcW w:w="808" w:type="dxa"/>
            <w:shd w:val="clear" w:color="auto" w:fill="auto"/>
          </w:tcPr>
          <w:p w14:paraId="32FE631D" w14:textId="77777777" w:rsidR="00EE6815" w:rsidRPr="00EE6815" w:rsidRDefault="00EE6815" w:rsidP="00EE6815">
            <w:pPr>
              <w:jc w:val="center"/>
              <w:rPr>
                <w:sz w:val="20"/>
              </w:rPr>
            </w:pPr>
          </w:p>
          <w:p w14:paraId="570D7FB0" w14:textId="67E59986" w:rsidR="00EE6815" w:rsidRPr="00EE6815" w:rsidRDefault="00EE6815" w:rsidP="00EE6815">
            <w:pPr>
              <w:jc w:val="center"/>
              <w:rPr>
                <w:rFonts w:eastAsia="Arial" w:cs="Arial"/>
                <w:sz w:val="20"/>
                <w:szCs w:val="22"/>
              </w:rPr>
            </w:pPr>
            <w:r w:rsidRPr="00EE6815">
              <w:rPr>
                <w:rFonts w:eastAsia="Arial" w:cs="Arial"/>
                <w:sz w:val="20"/>
                <w:szCs w:val="22"/>
              </w:rPr>
              <w:t>2</w:t>
            </w:r>
          </w:p>
        </w:tc>
        <w:tc>
          <w:tcPr>
            <w:tcW w:w="2244" w:type="dxa"/>
            <w:shd w:val="clear" w:color="auto" w:fill="auto"/>
          </w:tcPr>
          <w:p w14:paraId="329C24EE" w14:textId="77777777" w:rsidR="00EE6815" w:rsidRPr="00EE6815" w:rsidRDefault="00EE6815" w:rsidP="00EE6815">
            <w:pPr>
              <w:rPr>
                <w:sz w:val="20"/>
              </w:rPr>
            </w:pPr>
          </w:p>
          <w:p w14:paraId="3BE86D30" w14:textId="2B4182DF" w:rsidR="00EE6815" w:rsidRPr="00EE6815" w:rsidRDefault="00EE6815" w:rsidP="00EE6815">
            <w:pPr>
              <w:rPr>
                <w:rFonts w:eastAsia="Arial" w:cs="Arial"/>
                <w:sz w:val="20"/>
                <w:szCs w:val="22"/>
              </w:rPr>
            </w:pPr>
            <w:r w:rsidRPr="00EE6815">
              <w:rPr>
                <w:sz w:val="20"/>
              </w:rPr>
              <w:t>Contractor Meeting Minutes and Action Logs</w:t>
            </w:r>
          </w:p>
        </w:tc>
        <w:tc>
          <w:tcPr>
            <w:tcW w:w="3201" w:type="dxa"/>
            <w:shd w:val="clear" w:color="auto" w:fill="auto"/>
          </w:tcPr>
          <w:p w14:paraId="0B4678A3" w14:textId="77777777" w:rsidR="00EE6815" w:rsidRDefault="00EE6815" w:rsidP="00EE6815">
            <w:pPr>
              <w:rPr>
                <w:sz w:val="20"/>
              </w:rPr>
            </w:pPr>
          </w:p>
          <w:p w14:paraId="298EAD9A" w14:textId="72D5C3D1" w:rsidR="00EE6815" w:rsidRDefault="00EE6815" w:rsidP="00EE6815">
            <w:pPr>
              <w:rPr>
                <w:sz w:val="20"/>
              </w:rPr>
            </w:pPr>
            <w:r>
              <w:rPr>
                <w:sz w:val="20"/>
              </w:rPr>
              <w:t xml:space="preserve">The Contractor shall provide the minutes and action logs from meetings where the Contractor is required to act as Secretary to the meeting within ten (10) </w:t>
            </w:r>
            <w:r w:rsidR="00EF19CD">
              <w:rPr>
                <w:sz w:val="20"/>
              </w:rPr>
              <w:t>Business Days</w:t>
            </w:r>
            <w:r>
              <w:rPr>
                <w:sz w:val="20"/>
              </w:rPr>
              <w:t xml:space="preserve"> of the meeting.</w:t>
            </w:r>
          </w:p>
          <w:p w14:paraId="61A6C31C" w14:textId="77777777" w:rsidR="00EE6815" w:rsidRDefault="00EE6815" w:rsidP="00EE6815">
            <w:pPr>
              <w:rPr>
                <w:sz w:val="20"/>
              </w:rPr>
            </w:pPr>
          </w:p>
          <w:p w14:paraId="5EB193A4" w14:textId="55980507" w:rsidR="00EE6815" w:rsidRPr="00881DC8" w:rsidRDefault="00EE6815" w:rsidP="00EE6815">
            <w:pPr>
              <w:jc w:val="both"/>
              <w:rPr>
                <w:rFonts w:cs="Arial"/>
                <w:sz w:val="20"/>
                <w:szCs w:val="22"/>
              </w:rPr>
            </w:pPr>
            <w:r>
              <w:rPr>
                <w:sz w:val="20"/>
              </w:rPr>
              <w:t xml:space="preserve">The minutes shall be of the required format and quality as </w:t>
            </w:r>
            <w:r>
              <w:rPr>
                <w:sz w:val="20"/>
              </w:rPr>
              <w:lastRenderedPageBreak/>
              <w:t>defined in the Statement of Requirement.</w:t>
            </w:r>
          </w:p>
        </w:tc>
        <w:tc>
          <w:tcPr>
            <w:tcW w:w="3807" w:type="dxa"/>
            <w:shd w:val="clear" w:color="auto" w:fill="auto"/>
          </w:tcPr>
          <w:p w14:paraId="4405C10C" w14:textId="77777777" w:rsidR="00EE6815" w:rsidRDefault="00EE6815" w:rsidP="00EE6815">
            <w:pPr>
              <w:rPr>
                <w:sz w:val="20"/>
              </w:rPr>
            </w:pPr>
          </w:p>
          <w:p w14:paraId="2BCBCB98" w14:textId="056F90D0" w:rsidR="00EE6815" w:rsidRDefault="00EE6815" w:rsidP="00EE6815">
            <w:pPr>
              <w:rPr>
                <w:sz w:val="20"/>
              </w:rPr>
            </w:pPr>
            <w:r>
              <w:rPr>
                <w:sz w:val="20"/>
              </w:rPr>
              <w:t xml:space="preserve">100% of meeting minutes and action logs shall be provided within ten (10) </w:t>
            </w:r>
            <w:r w:rsidR="00EF19CD">
              <w:rPr>
                <w:sz w:val="20"/>
              </w:rPr>
              <w:t>Business Days</w:t>
            </w:r>
            <w:r>
              <w:rPr>
                <w:sz w:val="20"/>
              </w:rPr>
              <w:t xml:space="preserve"> of completion of the meeting.</w:t>
            </w:r>
          </w:p>
          <w:p w14:paraId="444E3EB7" w14:textId="77777777" w:rsidR="00EE6815" w:rsidRDefault="00EE6815" w:rsidP="00EE6815">
            <w:pPr>
              <w:rPr>
                <w:sz w:val="20"/>
              </w:rPr>
            </w:pPr>
          </w:p>
          <w:p w14:paraId="08C8CAAD" w14:textId="0D991479" w:rsidR="00EE6815" w:rsidRDefault="00EE6815" w:rsidP="00EE6815">
            <w:pPr>
              <w:rPr>
                <w:sz w:val="20"/>
              </w:rPr>
            </w:pPr>
            <w:r>
              <w:rPr>
                <w:sz w:val="20"/>
              </w:rPr>
              <w:t xml:space="preserve">100% of returned comment(s) from the Authority shall be amended by the Contractor and returned to the Authority within </w:t>
            </w:r>
            <w:r w:rsidR="004F6333">
              <w:rPr>
                <w:sz w:val="20"/>
              </w:rPr>
              <w:t>three</w:t>
            </w:r>
            <w:r>
              <w:rPr>
                <w:sz w:val="20"/>
              </w:rPr>
              <w:t xml:space="preserve"> (</w:t>
            </w:r>
            <w:r w:rsidR="004F6333">
              <w:rPr>
                <w:sz w:val="20"/>
              </w:rPr>
              <w:t>3</w:t>
            </w:r>
            <w:r>
              <w:rPr>
                <w:sz w:val="20"/>
              </w:rPr>
              <w:t xml:space="preserve">) </w:t>
            </w:r>
            <w:r w:rsidR="00EF19CD">
              <w:rPr>
                <w:sz w:val="20"/>
              </w:rPr>
              <w:t>Business Days</w:t>
            </w:r>
            <w:r>
              <w:rPr>
                <w:sz w:val="20"/>
              </w:rPr>
              <w:t>.</w:t>
            </w:r>
          </w:p>
          <w:p w14:paraId="5D79E62C" w14:textId="77777777" w:rsidR="00EE6815" w:rsidRPr="00881DC8" w:rsidRDefault="00EE6815" w:rsidP="00EE6815">
            <w:pPr>
              <w:jc w:val="both"/>
              <w:rPr>
                <w:rFonts w:eastAsia="Arial" w:cs="Arial"/>
                <w:sz w:val="20"/>
                <w:szCs w:val="22"/>
              </w:rPr>
            </w:pPr>
          </w:p>
        </w:tc>
        <w:tc>
          <w:tcPr>
            <w:tcW w:w="4394" w:type="dxa"/>
            <w:shd w:val="clear" w:color="auto" w:fill="auto"/>
          </w:tcPr>
          <w:p w14:paraId="1A13FA4F" w14:textId="77777777" w:rsidR="00EE6815" w:rsidRDefault="00EE6815" w:rsidP="00EE6815">
            <w:pPr>
              <w:rPr>
                <w:sz w:val="20"/>
              </w:rPr>
            </w:pPr>
          </w:p>
          <w:p w14:paraId="28801FE5" w14:textId="0B7669AA" w:rsidR="00EE6815" w:rsidRDefault="00EE6815" w:rsidP="00EE6815">
            <w:pPr>
              <w:rPr>
                <w:sz w:val="20"/>
              </w:rPr>
            </w:pPr>
            <w:r>
              <w:rPr>
                <w:sz w:val="20"/>
              </w:rPr>
              <w:t xml:space="preserve">The Contractor shall report against this KPI at each Quarterly Review Meeting. This will be cross checked with the Authority’s record of Contractor performance against this KPI. Where a discrepancy arises, the Authority’s record shall take precedence.  </w:t>
            </w:r>
          </w:p>
        </w:tc>
      </w:tr>
    </w:tbl>
    <w:p w14:paraId="66643D7E" w14:textId="77777777" w:rsidR="00EE6815" w:rsidRDefault="00EE6815" w:rsidP="000D1CEE">
      <w:pPr>
        <w:rPr>
          <w:rFonts w:eastAsia="Arial" w:cs="Arial"/>
          <w:sz w:val="18"/>
        </w:rPr>
      </w:pPr>
    </w:p>
    <w:p w14:paraId="4455E65E" w14:textId="7355C0E0" w:rsidR="0069524A" w:rsidRDefault="0069524A" w:rsidP="00C262C4">
      <w:pPr>
        <w:jc w:val="both"/>
        <w:rPr>
          <w:rFonts w:cs="Arial"/>
          <w:b/>
          <w:sz w:val="20"/>
        </w:rPr>
      </w:pPr>
    </w:p>
    <w:p w14:paraId="3BD5345B" w14:textId="77777777" w:rsidR="003D11AE" w:rsidRDefault="003D11AE" w:rsidP="00C262C4">
      <w:pPr>
        <w:jc w:val="both"/>
        <w:rPr>
          <w:rFonts w:cs="Arial"/>
          <w:b/>
          <w:sz w:val="20"/>
        </w:rPr>
      </w:pPr>
    </w:p>
    <w:p w14:paraId="23253416" w14:textId="654C04CF" w:rsidR="00D1092B" w:rsidRDefault="00D1092B" w:rsidP="00C262C4">
      <w:pPr>
        <w:jc w:val="both"/>
        <w:rPr>
          <w:rFonts w:cs="Arial"/>
          <w:b/>
          <w:sz w:val="20"/>
        </w:rPr>
      </w:pPr>
    </w:p>
    <w:p w14:paraId="13ECCD37" w14:textId="77777777" w:rsidR="0069524A" w:rsidRDefault="0069524A" w:rsidP="0069524A">
      <w:pPr>
        <w:jc w:val="both"/>
        <w:rPr>
          <w:rFonts w:cs="Arial"/>
          <w:b/>
          <w:sz w:val="20"/>
        </w:rPr>
      </w:pPr>
      <w:r>
        <w:rPr>
          <w:rFonts w:cs="Arial"/>
          <w:b/>
          <w:sz w:val="20"/>
        </w:rPr>
        <w:t>Table 2 - Payment Deductions against Table 1</w:t>
      </w:r>
    </w:p>
    <w:p w14:paraId="7E896176" w14:textId="77777777" w:rsidR="0069524A" w:rsidRDefault="0069524A" w:rsidP="0069524A">
      <w:pPr>
        <w:jc w:val="both"/>
        <w:rPr>
          <w:rFonts w:cs="Arial"/>
          <w:b/>
          <w:kern w:val="0"/>
          <w:sz w:val="20"/>
          <w:lang w:eastAsia="en-GB"/>
        </w:rPr>
      </w:pPr>
    </w:p>
    <w:tbl>
      <w:tblPr>
        <w:tblStyle w:val="TableGrid"/>
        <w:tblpPr w:leftFromText="180" w:rightFromText="180" w:vertAnchor="text" w:tblpY="1"/>
        <w:tblOverlap w:val="never"/>
        <w:tblW w:w="14596" w:type="dxa"/>
        <w:tblLook w:val="04A0" w:firstRow="1" w:lastRow="0" w:firstColumn="1" w:lastColumn="0" w:noHBand="0" w:noVBand="1"/>
      </w:tblPr>
      <w:tblGrid>
        <w:gridCol w:w="551"/>
        <w:gridCol w:w="1854"/>
        <w:gridCol w:w="2977"/>
        <w:gridCol w:w="2977"/>
        <w:gridCol w:w="2976"/>
        <w:gridCol w:w="3261"/>
      </w:tblGrid>
      <w:tr w:rsidR="0069524A" w14:paraId="02A7324A" w14:textId="77777777" w:rsidTr="0069524A">
        <w:trPr>
          <w:trHeight w:val="315"/>
        </w:trPr>
        <w:tc>
          <w:tcPr>
            <w:tcW w:w="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6CEBB1" w14:textId="77777777" w:rsidR="0069524A" w:rsidRDefault="0069524A" w:rsidP="00EC1FB9">
            <w:pPr>
              <w:jc w:val="center"/>
              <w:rPr>
                <w:rFonts w:cs="Arial"/>
                <w:b/>
                <w:sz w:val="20"/>
              </w:rPr>
            </w:pPr>
            <w:r>
              <w:rPr>
                <w:rFonts w:cs="Arial"/>
                <w:b/>
                <w:sz w:val="20"/>
              </w:rPr>
              <w:t>KPI</w:t>
            </w:r>
          </w:p>
        </w:tc>
        <w:tc>
          <w:tcPr>
            <w:tcW w:w="1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9AE102" w14:textId="77777777" w:rsidR="0069524A" w:rsidRDefault="0069524A" w:rsidP="00EC1FB9">
            <w:pPr>
              <w:jc w:val="center"/>
              <w:rPr>
                <w:rFonts w:cs="Arial"/>
                <w:b/>
                <w:sz w:val="20"/>
              </w:rPr>
            </w:pPr>
            <w:r>
              <w:rPr>
                <w:rFonts w:cs="Arial"/>
                <w:b/>
                <w:sz w:val="20"/>
              </w:rPr>
              <w:t>Metric</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B6DF5E" w14:textId="77777777" w:rsidR="0069524A" w:rsidRDefault="0069524A" w:rsidP="00EC1FB9">
            <w:pPr>
              <w:jc w:val="center"/>
              <w:rPr>
                <w:rFonts w:cs="Arial"/>
                <w:b/>
                <w:sz w:val="20"/>
              </w:rPr>
            </w:pPr>
            <w:r>
              <w:rPr>
                <w:rFonts w:cs="Arial"/>
                <w:b/>
                <w:sz w:val="20"/>
              </w:rPr>
              <w:t>Metric</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A40A96" w14:textId="77777777" w:rsidR="0069524A" w:rsidRDefault="0069524A" w:rsidP="00EC1FB9">
            <w:pPr>
              <w:jc w:val="center"/>
              <w:rPr>
                <w:rFonts w:cs="Arial"/>
                <w:b/>
                <w:sz w:val="20"/>
              </w:rPr>
            </w:pPr>
            <w:r>
              <w:rPr>
                <w:rFonts w:cs="Arial"/>
                <w:b/>
                <w:sz w:val="20"/>
              </w:rPr>
              <w:t>Metric</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371CD9" w14:textId="77777777" w:rsidR="0069524A" w:rsidRDefault="0069524A" w:rsidP="00EC1FB9">
            <w:pPr>
              <w:jc w:val="center"/>
              <w:rPr>
                <w:rFonts w:cs="Arial"/>
                <w:b/>
                <w:sz w:val="20"/>
              </w:rPr>
            </w:pPr>
            <w:r>
              <w:rPr>
                <w:rFonts w:cs="Arial"/>
                <w:b/>
                <w:sz w:val="20"/>
              </w:rPr>
              <w:t>Metric</w:t>
            </w: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5A6A28" w14:textId="56F541CB" w:rsidR="0069524A" w:rsidRDefault="0069524A" w:rsidP="0069524A">
            <w:pPr>
              <w:jc w:val="center"/>
              <w:rPr>
                <w:rFonts w:cs="Arial"/>
                <w:b/>
                <w:sz w:val="20"/>
              </w:rPr>
            </w:pPr>
            <w:r>
              <w:rPr>
                <w:rFonts w:cs="Arial"/>
                <w:b/>
                <w:sz w:val="20"/>
              </w:rPr>
              <w:t>Metric</w:t>
            </w:r>
          </w:p>
        </w:tc>
      </w:tr>
      <w:tr w:rsidR="0069524A" w14:paraId="289D0FD2" w14:textId="77777777" w:rsidTr="00EC1FB9">
        <w:trPr>
          <w:trHeight w:val="470"/>
        </w:trPr>
        <w:tc>
          <w:tcPr>
            <w:tcW w:w="551" w:type="dxa"/>
            <w:vMerge w:val="restart"/>
            <w:tcBorders>
              <w:top w:val="single" w:sz="4" w:space="0" w:color="auto"/>
              <w:left w:val="single" w:sz="4" w:space="0" w:color="auto"/>
              <w:bottom w:val="single" w:sz="4" w:space="0" w:color="auto"/>
              <w:right w:val="single" w:sz="4" w:space="0" w:color="auto"/>
            </w:tcBorders>
            <w:hideMark/>
          </w:tcPr>
          <w:p w14:paraId="6340FC60" w14:textId="77777777" w:rsidR="0069524A" w:rsidRDefault="0069524A" w:rsidP="00EC1FB9">
            <w:pPr>
              <w:jc w:val="center"/>
              <w:rPr>
                <w:rFonts w:cs="Arial"/>
                <w:sz w:val="20"/>
              </w:rPr>
            </w:pPr>
            <w:r>
              <w:rPr>
                <w:rFonts w:cs="Arial"/>
                <w:sz w:val="20"/>
              </w:rPr>
              <w:t>1</w:t>
            </w:r>
          </w:p>
        </w:tc>
        <w:tc>
          <w:tcPr>
            <w:tcW w:w="1854" w:type="dxa"/>
            <w:tcBorders>
              <w:top w:val="single" w:sz="4" w:space="0" w:color="auto"/>
              <w:left w:val="single" w:sz="4" w:space="0" w:color="auto"/>
              <w:bottom w:val="single" w:sz="4" w:space="0" w:color="auto"/>
              <w:right w:val="single" w:sz="4" w:space="0" w:color="auto"/>
            </w:tcBorders>
            <w:shd w:val="clear" w:color="auto" w:fill="00B050"/>
            <w:hideMark/>
          </w:tcPr>
          <w:p w14:paraId="4F1ED142" w14:textId="77777777" w:rsidR="0069524A" w:rsidRDefault="0069524A" w:rsidP="00EC1FB9">
            <w:pPr>
              <w:jc w:val="center"/>
              <w:rPr>
                <w:rFonts w:cs="Arial"/>
                <w:sz w:val="20"/>
              </w:rPr>
            </w:pPr>
            <w:r>
              <w:rPr>
                <w:rFonts w:cs="Arial"/>
                <w:sz w:val="20"/>
              </w:rPr>
              <w:t>GREEN</w:t>
            </w:r>
          </w:p>
        </w:tc>
        <w:tc>
          <w:tcPr>
            <w:tcW w:w="2977" w:type="dxa"/>
            <w:tcBorders>
              <w:top w:val="single" w:sz="4" w:space="0" w:color="auto"/>
              <w:left w:val="single" w:sz="4" w:space="0" w:color="auto"/>
              <w:bottom w:val="single" w:sz="4" w:space="0" w:color="auto"/>
              <w:right w:val="single" w:sz="4" w:space="0" w:color="auto"/>
            </w:tcBorders>
            <w:shd w:val="clear" w:color="auto" w:fill="FFFF00"/>
            <w:hideMark/>
          </w:tcPr>
          <w:p w14:paraId="6C4EAE69" w14:textId="77777777" w:rsidR="0069524A" w:rsidRDefault="0069524A" w:rsidP="00EC1FB9">
            <w:pPr>
              <w:jc w:val="center"/>
              <w:rPr>
                <w:rFonts w:cs="Arial"/>
                <w:sz w:val="20"/>
              </w:rPr>
            </w:pPr>
            <w:r>
              <w:rPr>
                <w:rFonts w:cs="Arial"/>
                <w:sz w:val="20"/>
              </w:rPr>
              <w:t>YELLOW</w:t>
            </w:r>
          </w:p>
        </w:tc>
        <w:tc>
          <w:tcPr>
            <w:tcW w:w="2977" w:type="dxa"/>
            <w:tcBorders>
              <w:top w:val="single" w:sz="4" w:space="0" w:color="auto"/>
              <w:left w:val="single" w:sz="4" w:space="0" w:color="auto"/>
              <w:bottom w:val="single" w:sz="4" w:space="0" w:color="auto"/>
              <w:right w:val="single" w:sz="4" w:space="0" w:color="auto"/>
            </w:tcBorders>
            <w:shd w:val="clear" w:color="auto" w:fill="FFC000"/>
            <w:hideMark/>
          </w:tcPr>
          <w:p w14:paraId="2185DF64" w14:textId="77777777" w:rsidR="0069524A" w:rsidRDefault="0069524A" w:rsidP="00EC1FB9">
            <w:pPr>
              <w:jc w:val="center"/>
              <w:rPr>
                <w:rFonts w:cs="Arial"/>
                <w:sz w:val="20"/>
              </w:rPr>
            </w:pPr>
            <w:r>
              <w:rPr>
                <w:rFonts w:cs="Arial"/>
                <w:sz w:val="20"/>
              </w:rPr>
              <w:t>AMBER</w:t>
            </w:r>
          </w:p>
        </w:tc>
        <w:tc>
          <w:tcPr>
            <w:tcW w:w="2976" w:type="dxa"/>
            <w:tcBorders>
              <w:top w:val="single" w:sz="4" w:space="0" w:color="auto"/>
              <w:left w:val="single" w:sz="4" w:space="0" w:color="auto"/>
              <w:bottom w:val="single" w:sz="4" w:space="0" w:color="auto"/>
              <w:right w:val="single" w:sz="4" w:space="0" w:color="auto"/>
            </w:tcBorders>
            <w:shd w:val="clear" w:color="auto" w:fill="FF0000"/>
            <w:hideMark/>
          </w:tcPr>
          <w:p w14:paraId="27D7D2E0" w14:textId="77777777" w:rsidR="0069524A" w:rsidRDefault="0069524A" w:rsidP="00EC1FB9">
            <w:pPr>
              <w:jc w:val="center"/>
              <w:rPr>
                <w:rFonts w:cs="Arial"/>
                <w:sz w:val="20"/>
              </w:rPr>
            </w:pPr>
            <w:r>
              <w:rPr>
                <w:rFonts w:cs="Arial"/>
                <w:sz w:val="20"/>
              </w:rPr>
              <w:t>RED</w:t>
            </w:r>
          </w:p>
        </w:tc>
        <w:tc>
          <w:tcPr>
            <w:tcW w:w="3261" w:type="dxa"/>
            <w:tcBorders>
              <w:top w:val="single" w:sz="4" w:space="0" w:color="auto"/>
              <w:left w:val="single" w:sz="4" w:space="0" w:color="auto"/>
              <w:bottom w:val="single" w:sz="4" w:space="0" w:color="auto"/>
              <w:right w:val="single" w:sz="4" w:space="0" w:color="auto"/>
            </w:tcBorders>
            <w:shd w:val="clear" w:color="auto" w:fill="00B0F0"/>
            <w:hideMark/>
          </w:tcPr>
          <w:p w14:paraId="1DC1A329" w14:textId="77777777" w:rsidR="0069524A" w:rsidRDefault="0069524A" w:rsidP="00EC1FB9">
            <w:pPr>
              <w:jc w:val="center"/>
              <w:rPr>
                <w:rFonts w:cs="Arial"/>
                <w:sz w:val="20"/>
              </w:rPr>
            </w:pPr>
            <w:r>
              <w:rPr>
                <w:rFonts w:cs="Arial"/>
                <w:sz w:val="20"/>
              </w:rPr>
              <w:t>CRITICAL FAILURE</w:t>
            </w:r>
          </w:p>
        </w:tc>
      </w:tr>
      <w:tr w:rsidR="0069524A" w14:paraId="4F6ECEBD" w14:textId="77777777" w:rsidTr="00EC1FB9">
        <w:trPr>
          <w:trHeight w:val="470"/>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2C74C069" w14:textId="77777777" w:rsidR="0069524A" w:rsidRDefault="0069524A" w:rsidP="00EC1FB9">
            <w:pPr>
              <w:rPr>
                <w:rFonts w:cs="Arial"/>
                <w:sz w:val="20"/>
              </w:rPr>
            </w:pPr>
          </w:p>
        </w:tc>
        <w:tc>
          <w:tcPr>
            <w:tcW w:w="1854" w:type="dxa"/>
            <w:tcBorders>
              <w:top w:val="single" w:sz="4" w:space="0" w:color="auto"/>
              <w:left w:val="single" w:sz="4" w:space="0" w:color="auto"/>
              <w:bottom w:val="single" w:sz="4" w:space="0" w:color="auto"/>
              <w:right w:val="single" w:sz="4" w:space="0" w:color="auto"/>
            </w:tcBorders>
            <w:hideMark/>
          </w:tcPr>
          <w:p w14:paraId="16063CCF" w14:textId="77777777" w:rsidR="0069524A" w:rsidRDefault="0069524A" w:rsidP="00EC1FB9">
            <w:pPr>
              <w:jc w:val="center"/>
              <w:rPr>
                <w:rFonts w:cs="Arial"/>
                <w:sz w:val="20"/>
              </w:rPr>
            </w:pPr>
            <w:r>
              <w:rPr>
                <w:rFonts w:cs="Arial"/>
                <w:sz w:val="20"/>
              </w:rPr>
              <w:t>All required information provided on time</w:t>
            </w:r>
          </w:p>
        </w:tc>
        <w:tc>
          <w:tcPr>
            <w:tcW w:w="2977" w:type="dxa"/>
            <w:tcBorders>
              <w:top w:val="single" w:sz="4" w:space="0" w:color="auto"/>
              <w:left w:val="single" w:sz="4" w:space="0" w:color="auto"/>
              <w:bottom w:val="single" w:sz="4" w:space="0" w:color="auto"/>
              <w:right w:val="single" w:sz="4" w:space="0" w:color="auto"/>
            </w:tcBorders>
            <w:hideMark/>
          </w:tcPr>
          <w:p w14:paraId="0857A1AD" w14:textId="2847CD74" w:rsidR="0069524A" w:rsidRDefault="0069524A" w:rsidP="00EC1FB9">
            <w:pPr>
              <w:jc w:val="center"/>
              <w:rPr>
                <w:rFonts w:cs="Arial"/>
                <w:sz w:val="20"/>
              </w:rPr>
            </w:pPr>
            <w:r>
              <w:rPr>
                <w:rFonts w:cs="Arial"/>
                <w:sz w:val="20"/>
              </w:rPr>
              <w:t xml:space="preserve">All required information provided 1-2 </w:t>
            </w:r>
            <w:r w:rsidR="00EF19CD">
              <w:rPr>
                <w:rFonts w:cs="Arial"/>
                <w:sz w:val="20"/>
              </w:rPr>
              <w:t>Business Days</w:t>
            </w:r>
            <w:r>
              <w:rPr>
                <w:rFonts w:cs="Arial"/>
                <w:sz w:val="20"/>
              </w:rPr>
              <w:t xml:space="preserve"> late</w:t>
            </w:r>
          </w:p>
        </w:tc>
        <w:tc>
          <w:tcPr>
            <w:tcW w:w="2977" w:type="dxa"/>
            <w:tcBorders>
              <w:top w:val="single" w:sz="4" w:space="0" w:color="auto"/>
              <w:left w:val="single" w:sz="4" w:space="0" w:color="auto"/>
              <w:bottom w:val="single" w:sz="4" w:space="0" w:color="auto"/>
              <w:right w:val="single" w:sz="4" w:space="0" w:color="auto"/>
            </w:tcBorders>
            <w:hideMark/>
          </w:tcPr>
          <w:p w14:paraId="24E22079" w14:textId="02872DF6" w:rsidR="0069524A" w:rsidRDefault="0069524A" w:rsidP="00EC1FB9">
            <w:pPr>
              <w:jc w:val="center"/>
              <w:rPr>
                <w:rFonts w:cs="Arial"/>
                <w:sz w:val="20"/>
              </w:rPr>
            </w:pPr>
            <w:r>
              <w:rPr>
                <w:rFonts w:cs="Arial"/>
                <w:sz w:val="20"/>
              </w:rPr>
              <w:t xml:space="preserve">All required information provided 3-5 </w:t>
            </w:r>
            <w:r w:rsidR="00EF19CD">
              <w:rPr>
                <w:rFonts w:cs="Arial"/>
                <w:sz w:val="20"/>
              </w:rPr>
              <w:t>Business Days</w:t>
            </w:r>
            <w:r>
              <w:rPr>
                <w:rFonts w:cs="Arial"/>
                <w:sz w:val="20"/>
              </w:rPr>
              <w:t xml:space="preserve"> late</w:t>
            </w:r>
          </w:p>
        </w:tc>
        <w:tc>
          <w:tcPr>
            <w:tcW w:w="2976" w:type="dxa"/>
            <w:tcBorders>
              <w:top w:val="single" w:sz="4" w:space="0" w:color="auto"/>
              <w:left w:val="single" w:sz="4" w:space="0" w:color="auto"/>
              <w:bottom w:val="single" w:sz="4" w:space="0" w:color="auto"/>
              <w:right w:val="single" w:sz="4" w:space="0" w:color="auto"/>
            </w:tcBorders>
            <w:hideMark/>
          </w:tcPr>
          <w:p w14:paraId="12048565" w14:textId="335FAFD7" w:rsidR="0069524A" w:rsidRDefault="0069524A" w:rsidP="00EC1FB9">
            <w:pPr>
              <w:jc w:val="center"/>
              <w:rPr>
                <w:rFonts w:cs="Arial"/>
                <w:sz w:val="20"/>
              </w:rPr>
            </w:pPr>
            <w:r>
              <w:rPr>
                <w:rFonts w:cs="Arial"/>
                <w:sz w:val="20"/>
              </w:rPr>
              <w:t xml:space="preserve">All required information provided 6-10 </w:t>
            </w:r>
            <w:r w:rsidR="00EF19CD">
              <w:rPr>
                <w:rFonts w:cs="Arial"/>
                <w:sz w:val="20"/>
              </w:rPr>
              <w:t>Business Days</w:t>
            </w:r>
            <w:r>
              <w:rPr>
                <w:rFonts w:cs="Arial"/>
                <w:sz w:val="20"/>
              </w:rPr>
              <w:t xml:space="preserve"> late</w:t>
            </w:r>
          </w:p>
        </w:tc>
        <w:tc>
          <w:tcPr>
            <w:tcW w:w="3261" w:type="dxa"/>
            <w:tcBorders>
              <w:top w:val="single" w:sz="4" w:space="0" w:color="auto"/>
              <w:left w:val="single" w:sz="4" w:space="0" w:color="auto"/>
              <w:bottom w:val="single" w:sz="4" w:space="0" w:color="auto"/>
              <w:right w:val="single" w:sz="4" w:space="0" w:color="auto"/>
            </w:tcBorders>
            <w:hideMark/>
          </w:tcPr>
          <w:p w14:paraId="527E3973" w14:textId="3777DD6E" w:rsidR="0069524A" w:rsidRDefault="0069524A" w:rsidP="00EC1FB9">
            <w:pPr>
              <w:jc w:val="center"/>
              <w:rPr>
                <w:rFonts w:cs="Arial"/>
                <w:sz w:val="20"/>
              </w:rPr>
            </w:pPr>
            <w:r>
              <w:rPr>
                <w:rFonts w:cs="Arial"/>
                <w:sz w:val="20"/>
              </w:rPr>
              <w:t xml:space="preserve">All required information provided in excess of 11 </w:t>
            </w:r>
            <w:r w:rsidR="00EF19CD">
              <w:rPr>
                <w:rFonts w:cs="Arial"/>
                <w:sz w:val="20"/>
              </w:rPr>
              <w:t>Business Days</w:t>
            </w:r>
            <w:r>
              <w:rPr>
                <w:rFonts w:cs="Arial"/>
                <w:sz w:val="20"/>
              </w:rPr>
              <w:t xml:space="preserve"> late</w:t>
            </w:r>
          </w:p>
        </w:tc>
      </w:tr>
      <w:tr w:rsidR="0069524A" w14:paraId="4F3DC515" w14:textId="77777777" w:rsidTr="00EC1FB9">
        <w:tc>
          <w:tcPr>
            <w:tcW w:w="551" w:type="dxa"/>
            <w:vMerge/>
            <w:tcBorders>
              <w:top w:val="single" w:sz="4" w:space="0" w:color="auto"/>
              <w:left w:val="single" w:sz="4" w:space="0" w:color="auto"/>
              <w:bottom w:val="single" w:sz="4" w:space="0" w:color="auto"/>
              <w:right w:val="single" w:sz="4" w:space="0" w:color="auto"/>
            </w:tcBorders>
            <w:vAlign w:val="center"/>
            <w:hideMark/>
          </w:tcPr>
          <w:p w14:paraId="68FDF9F5" w14:textId="77777777" w:rsidR="0069524A" w:rsidRDefault="0069524A" w:rsidP="00EC1FB9">
            <w:pPr>
              <w:rPr>
                <w:rFonts w:cs="Arial"/>
                <w:sz w:val="20"/>
              </w:rPr>
            </w:pPr>
          </w:p>
        </w:tc>
        <w:tc>
          <w:tcPr>
            <w:tcW w:w="1854" w:type="dxa"/>
            <w:tcBorders>
              <w:top w:val="single" w:sz="4" w:space="0" w:color="auto"/>
              <w:left w:val="single" w:sz="4" w:space="0" w:color="auto"/>
              <w:bottom w:val="single" w:sz="4" w:space="0" w:color="auto"/>
              <w:right w:val="single" w:sz="4" w:space="0" w:color="auto"/>
            </w:tcBorders>
            <w:hideMark/>
          </w:tcPr>
          <w:p w14:paraId="726B08EA" w14:textId="77777777" w:rsidR="0069524A" w:rsidRDefault="0069524A" w:rsidP="00EC1FB9">
            <w:pPr>
              <w:jc w:val="center"/>
              <w:rPr>
                <w:rFonts w:cs="Arial"/>
                <w:sz w:val="20"/>
              </w:rPr>
            </w:pPr>
            <w:r>
              <w:rPr>
                <w:rFonts w:cs="Arial"/>
                <w:sz w:val="20"/>
              </w:rPr>
              <w:t>0% - No deductions</w:t>
            </w:r>
          </w:p>
        </w:tc>
        <w:tc>
          <w:tcPr>
            <w:tcW w:w="2977" w:type="dxa"/>
            <w:tcBorders>
              <w:top w:val="single" w:sz="4" w:space="0" w:color="auto"/>
              <w:left w:val="single" w:sz="4" w:space="0" w:color="auto"/>
              <w:bottom w:val="single" w:sz="4" w:space="0" w:color="auto"/>
              <w:right w:val="single" w:sz="4" w:space="0" w:color="auto"/>
            </w:tcBorders>
            <w:hideMark/>
          </w:tcPr>
          <w:p w14:paraId="0F41DBD7" w14:textId="77777777" w:rsidR="0069524A" w:rsidRDefault="0069524A" w:rsidP="00EC1FB9">
            <w:pPr>
              <w:jc w:val="center"/>
              <w:rPr>
                <w:rFonts w:cs="Arial"/>
                <w:sz w:val="20"/>
              </w:rPr>
            </w:pPr>
            <w:r>
              <w:rPr>
                <w:rFonts w:cs="Arial"/>
                <w:sz w:val="20"/>
              </w:rPr>
              <w:t xml:space="preserve">A deduction of 1% will be made to the quarterly payment </w:t>
            </w:r>
          </w:p>
        </w:tc>
        <w:tc>
          <w:tcPr>
            <w:tcW w:w="2977" w:type="dxa"/>
            <w:tcBorders>
              <w:top w:val="single" w:sz="4" w:space="0" w:color="auto"/>
              <w:left w:val="single" w:sz="4" w:space="0" w:color="auto"/>
              <w:bottom w:val="single" w:sz="4" w:space="0" w:color="auto"/>
              <w:right w:val="single" w:sz="4" w:space="0" w:color="auto"/>
            </w:tcBorders>
            <w:hideMark/>
          </w:tcPr>
          <w:p w14:paraId="6C9B910F" w14:textId="77777777" w:rsidR="0069524A" w:rsidRDefault="0069524A" w:rsidP="00EC1FB9">
            <w:pPr>
              <w:jc w:val="center"/>
              <w:rPr>
                <w:rFonts w:cs="Arial"/>
                <w:sz w:val="20"/>
              </w:rPr>
            </w:pPr>
            <w:r>
              <w:rPr>
                <w:rFonts w:cs="Arial"/>
                <w:sz w:val="20"/>
              </w:rPr>
              <w:t xml:space="preserve">A deduction of 2.5% will be made to the quarterly payment </w:t>
            </w:r>
          </w:p>
        </w:tc>
        <w:tc>
          <w:tcPr>
            <w:tcW w:w="2976" w:type="dxa"/>
            <w:tcBorders>
              <w:top w:val="single" w:sz="4" w:space="0" w:color="auto"/>
              <w:left w:val="single" w:sz="4" w:space="0" w:color="auto"/>
              <w:bottom w:val="single" w:sz="4" w:space="0" w:color="auto"/>
              <w:right w:val="single" w:sz="4" w:space="0" w:color="auto"/>
            </w:tcBorders>
            <w:hideMark/>
          </w:tcPr>
          <w:p w14:paraId="2718D101" w14:textId="77777777" w:rsidR="0069524A" w:rsidRDefault="0069524A" w:rsidP="00EC1FB9">
            <w:pPr>
              <w:jc w:val="center"/>
              <w:rPr>
                <w:rFonts w:cs="Arial"/>
                <w:sz w:val="20"/>
              </w:rPr>
            </w:pPr>
            <w:r>
              <w:rPr>
                <w:rFonts w:cs="Arial"/>
                <w:sz w:val="20"/>
              </w:rPr>
              <w:t xml:space="preserve">A deduction of 5% will be made to the quarterly payment </w:t>
            </w:r>
          </w:p>
        </w:tc>
        <w:tc>
          <w:tcPr>
            <w:tcW w:w="3261" w:type="dxa"/>
            <w:tcBorders>
              <w:top w:val="single" w:sz="4" w:space="0" w:color="auto"/>
              <w:left w:val="single" w:sz="4" w:space="0" w:color="auto"/>
              <w:bottom w:val="single" w:sz="4" w:space="0" w:color="auto"/>
              <w:right w:val="single" w:sz="4" w:space="0" w:color="auto"/>
            </w:tcBorders>
            <w:hideMark/>
          </w:tcPr>
          <w:p w14:paraId="7E16E435" w14:textId="77777777" w:rsidR="0069524A" w:rsidRDefault="0069524A" w:rsidP="00EC1FB9">
            <w:pPr>
              <w:jc w:val="center"/>
              <w:rPr>
                <w:rFonts w:cs="Arial"/>
                <w:sz w:val="20"/>
              </w:rPr>
            </w:pPr>
            <w:r>
              <w:rPr>
                <w:rFonts w:cs="Arial"/>
                <w:sz w:val="20"/>
              </w:rPr>
              <w:t>A deduction of 7.5% will be made to the quarterly payment or Termination due to Material Breach, under Section 43 of the SC2 Terms and Conditions</w:t>
            </w:r>
          </w:p>
        </w:tc>
      </w:tr>
    </w:tbl>
    <w:p w14:paraId="0FBE8BFA" w14:textId="77777777" w:rsidR="0069524A" w:rsidRDefault="0069524A" w:rsidP="0069524A">
      <w:pPr>
        <w:jc w:val="both"/>
        <w:rPr>
          <w:rFonts w:cs="Arial"/>
          <w:b/>
          <w:kern w:val="0"/>
          <w:sz w:val="20"/>
          <w:lang w:eastAsia="en-GB"/>
        </w:rPr>
      </w:pPr>
    </w:p>
    <w:p w14:paraId="1C0CA507" w14:textId="77777777" w:rsidR="0069524A" w:rsidRDefault="0069524A" w:rsidP="0069524A">
      <w:pPr>
        <w:jc w:val="both"/>
        <w:rPr>
          <w:rFonts w:cs="Arial"/>
          <w:b/>
          <w:kern w:val="0"/>
          <w:sz w:val="20"/>
          <w:lang w:eastAsia="en-GB"/>
        </w:rPr>
      </w:pPr>
    </w:p>
    <w:tbl>
      <w:tblPr>
        <w:tblStyle w:val="TableGrid"/>
        <w:tblpPr w:leftFromText="180" w:rightFromText="180" w:vertAnchor="text" w:tblpY="1"/>
        <w:tblOverlap w:val="never"/>
        <w:tblW w:w="14596" w:type="dxa"/>
        <w:tblLook w:val="04A0" w:firstRow="1" w:lastRow="0" w:firstColumn="1" w:lastColumn="0" w:noHBand="0" w:noVBand="1"/>
      </w:tblPr>
      <w:tblGrid>
        <w:gridCol w:w="551"/>
        <w:gridCol w:w="1854"/>
        <w:gridCol w:w="2977"/>
        <w:gridCol w:w="2977"/>
        <w:gridCol w:w="2976"/>
        <w:gridCol w:w="3261"/>
      </w:tblGrid>
      <w:tr w:rsidR="0069524A" w14:paraId="2E07543A" w14:textId="77777777" w:rsidTr="0069524A">
        <w:trPr>
          <w:trHeight w:val="315"/>
        </w:trPr>
        <w:tc>
          <w:tcPr>
            <w:tcW w:w="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23C1A8" w14:textId="77777777" w:rsidR="0069524A" w:rsidRDefault="0069524A" w:rsidP="00EC1FB9">
            <w:pPr>
              <w:jc w:val="center"/>
              <w:rPr>
                <w:rFonts w:cs="Arial"/>
                <w:b/>
                <w:sz w:val="20"/>
              </w:rPr>
            </w:pPr>
            <w:r>
              <w:rPr>
                <w:rFonts w:cs="Arial"/>
                <w:b/>
                <w:sz w:val="20"/>
              </w:rPr>
              <w:t>KPI</w:t>
            </w:r>
          </w:p>
        </w:tc>
        <w:tc>
          <w:tcPr>
            <w:tcW w:w="1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C901C6" w14:textId="77777777" w:rsidR="0069524A" w:rsidRDefault="0069524A" w:rsidP="00EC1FB9">
            <w:pPr>
              <w:jc w:val="center"/>
              <w:rPr>
                <w:rFonts w:cs="Arial"/>
                <w:b/>
                <w:sz w:val="20"/>
              </w:rPr>
            </w:pPr>
            <w:r>
              <w:rPr>
                <w:rFonts w:cs="Arial"/>
                <w:b/>
                <w:sz w:val="20"/>
              </w:rPr>
              <w:t>Metric</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560E87" w14:textId="77777777" w:rsidR="0069524A" w:rsidRDefault="0069524A" w:rsidP="00EC1FB9">
            <w:pPr>
              <w:jc w:val="center"/>
              <w:rPr>
                <w:rFonts w:cs="Arial"/>
                <w:b/>
                <w:sz w:val="20"/>
              </w:rPr>
            </w:pPr>
            <w:r>
              <w:rPr>
                <w:rFonts w:cs="Arial"/>
                <w:b/>
                <w:sz w:val="20"/>
              </w:rPr>
              <w:t>Metric</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7825CA" w14:textId="77777777" w:rsidR="0069524A" w:rsidRDefault="0069524A" w:rsidP="00EC1FB9">
            <w:pPr>
              <w:jc w:val="center"/>
              <w:rPr>
                <w:rFonts w:cs="Arial"/>
                <w:b/>
                <w:sz w:val="20"/>
              </w:rPr>
            </w:pPr>
            <w:r>
              <w:rPr>
                <w:rFonts w:cs="Arial"/>
                <w:b/>
                <w:sz w:val="20"/>
              </w:rPr>
              <w:t>Metric</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4E7A91" w14:textId="77777777" w:rsidR="0069524A" w:rsidRDefault="0069524A" w:rsidP="00EC1FB9">
            <w:pPr>
              <w:jc w:val="center"/>
              <w:rPr>
                <w:rFonts w:cs="Arial"/>
                <w:b/>
                <w:sz w:val="20"/>
              </w:rPr>
            </w:pPr>
            <w:r>
              <w:rPr>
                <w:rFonts w:cs="Arial"/>
                <w:b/>
                <w:sz w:val="20"/>
              </w:rPr>
              <w:t>Metric</w:t>
            </w: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C0F1C1" w14:textId="19E9F997" w:rsidR="0069524A" w:rsidRDefault="0069524A" w:rsidP="0069524A">
            <w:pPr>
              <w:jc w:val="center"/>
              <w:rPr>
                <w:rFonts w:cs="Arial"/>
                <w:b/>
                <w:sz w:val="20"/>
              </w:rPr>
            </w:pPr>
            <w:r>
              <w:rPr>
                <w:rFonts w:cs="Arial"/>
                <w:b/>
                <w:sz w:val="20"/>
              </w:rPr>
              <w:t>Metric</w:t>
            </w:r>
          </w:p>
        </w:tc>
      </w:tr>
      <w:tr w:rsidR="0069524A" w14:paraId="6D2DC343" w14:textId="77777777" w:rsidTr="00EC1FB9">
        <w:trPr>
          <w:trHeight w:val="470"/>
        </w:trPr>
        <w:tc>
          <w:tcPr>
            <w:tcW w:w="551" w:type="dxa"/>
            <w:vMerge w:val="restart"/>
            <w:tcBorders>
              <w:top w:val="single" w:sz="4" w:space="0" w:color="auto"/>
              <w:left w:val="single" w:sz="4" w:space="0" w:color="auto"/>
              <w:bottom w:val="single" w:sz="4" w:space="0" w:color="auto"/>
              <w:right w:val="single" w:sz="4" w:space="0" w:color="auto"/>
            </w:tcBorders>
            <w:hideMark/>
          </w:tcPr>
          <w:p w14:paraId="6A370A1D" w14:textId="77777777" w:rsidR="0069524A" w:rsidRDefault="0069524A" w:rsidP="00EC1FB9">
            <w:pPr>
              <w:jc w:val="center"/>
              <w:rPr>
                <w:rFonts w:cs="Arial"/>
                <w:sz w:val="20"/>
              </w:rPr>
            </w:pPr>
            <w:r>
              <w:rPr>
                <w:rFonts w:cs="Arial"/>
                <w:sz w:val="20"/>
              </w:rPr>
              <w:t>2</w:t>
            </w:r>
          </w:p>
        </w:tc>
        <w:tc>
          <w:tcPr>
            <w:tcW w:w="1854" w:type="dxa"/>
            <w:tcBorders>
              <w:top w:val="single" w:sz="4" w:space="0" w:color="auto"/>
              <w:left w:val="single" w:sz="4" w:space="0" w:color="auto"/>
              <w:bottom w:val="single" w:sz="4" w:space="0" w:color="auto"/>
              <w:right w:val="single" w:sz="4" w:space="0" w:color="auto"/>
            </w:tcBorders>
            <w:shd w:val="clear" w:color="auto" w:fill="00B050"/>
            <w:hideMark/>
          </w:tcPr>
          <w:p w14:paraId="5C8BDA98" w14:textId="77777777" w:rsidR="0069524A" w:rsidRDefault="0069524A" w:rsidP="00EC1FB9">
            <w:pPr>
              <w:jc w:val="center"/>
              <w:rPr>
                <w:rFonts w:cs="Arial"/>
                <w:sz w:val="20"/>
              </w:rPr>
            </w:pPr>
            <w:r>
              <w:rPr>
                <w:rFonts w:cs="Arial"/>
                <w:sz w:val="20"/>
              </w:rPr>
              <w:t>GREEN</w:t>
            </w:r>
          </w:p>
        </w:tc>
        <w:tc>
          <w:tcPr>
            <w:tcW w:w="2977" w:type="dxa"/>
            <w:tcBorders>
              <w:top w:val="single" w:sz="4" w:space="0" w:color="auto"/>
              <w:left w:val="single" w:sz="4" w:space="0" w:color="auto"/>
              <w:bottom w:val="single" w:sz="4" w:space="0" w:color="auto"/>
              <w:right w:val="single" w:sz="4" w:space="0" w:color="auto"/>
            </w:tcBorders>
            <w:shd w:val="clear" w:color="auto" w:fill="FFFF00"/>
            <w:hideMark/>
          </w:tcPr>
          <w:p w14:paraId="7C4DCDCF" w14:textId="77777777" w:rsidR="0069524A" w:rsidRDefault="0069524A" w:rsidP="00EC1FB9">
            <w:pPr>
              <w:jc w:val="center"/>
              <w:rPr>
                <w:rFonts w:cs="Arial"/>
                <w:sz w:val="20"/>
              </w:rPr>
            </w:pPr>
            <w:r>
              <w:rPr>
                <w:rFonts w:cs="Arial"/>
                <w:sz w:val="20"/>
              </w:rPr>
              <w:t>YELLOW</w:t>
            </w:r>
          </w:p>
        </w:tc>
        <w:tc>
          <w:tcPr>
            <w:tcW w:w="2977" w:type="dxa"/>
            <w:tcBorders>
              <w:top w:val="single" w:sz="4" w:space="0" w:color="auto"/>
              <w:left w:val="single" w:sz="4" w:space="0" w:color="auto"/>
              <w:bottom w:val="single" w:sz="4" w:space="0" w:color="auto"/>
              <w:right w:val="single" w:sz="4" w:space="0" w:color="auto"/>
            </w:tcBorders>
            <w:shd w:val="clear" w:color="auto" w:fill="FFC000"/>
            <w:hideMark/>
          </w:tcPr>
          <w:p w14:paraId="4FDD812C" w14:textId="77777777" w:rsidR="0069524A" w:rsidRDefault="0069524A" w:rsidP="00EC1FB9">
            <w:pPr>
              <w:jc w:val="center"/>
              <w:rPr>
                <w:rFonts w:cs="Arial"/>
                <w:sz w:val="20"/>
              </w:rPr>
            </w:pPr>
            <w:r>
              <w:rPr>
                <w:rFonts w:cs="Arial"/>
                <w:sz w:val="20"/>
              </w:rPr>
              <w:t>AMBER</w:t>
            </w:r>
          </w:p>
        </w:tc>
        <w:tc>
          <w:tcPr>
            <w:tcW w:w="2976" w:type="dxa"/>
            <w:tcBorders>
              <w:top w:val="single" w:sz="4" w:space="0" w:color="auto"/>
              <w:left w:val="single" w:sz="4" w:space="0" w:color="auto"/>
              <w:bottom w:val="single" w:sz="4" w:space="0" w:color="auto"/>
              <w:right w:val="single" w:sz="4" w:space="0" w:color="auto"/>
            </w:tcBorders>
            <w:shd w:val="clear" w:color="auto" w:fill="FF0000"/>
            <w:hideMark/>
          </w:tcPr>
          <w:p w14:paraId="7FB1624D" w14:textId="77777777" w:rsidR="0069524A" w:rsidRDefault="0069524A" w:rsidP="00EC1FB9">
            <w:pPr>
              <w:jc w:val="center"/>
              <w:rPr>
                <w:rFonts w:cs="Arial"/>
                <w:sz w:val="20"/>
              </w:rPr>
            </w:pPr>
            <w:r>
              <w:rPr>
                <w:rFonts w:cs="Arial"/>
                <w:sz w:val="20"/>
              </w:rPr>
              <w:t>RED</w:t>
            </w:r>
          </w:p>
        </w:tc>
        <w:tc>
          <w:tcPr>
            <w:tcW w:w="3261" w:type="dxa"/>
            <w:tcBorders>
              <w:top w:val="single" w:sz="4" w:space="0" w:color="auto"/>
              <w:left w:val="single" w:sz="4" w:space="0" w:color="auto"/>
              <w:bottom w:val="single" w:sz="4" w:space="0" w:color="auto"/>
              <w:right w:val="single" w:sz="4" w:space="0" w:color="auto"/>
            </w:tcBorders>
            <w:shd w:val="clear" w:color="auto" w:fill="00B0F0"/>
            <w:hideMark/>
          </w:tcPr>
          <w:p w14:paraId="531524B3" w14:textId="77777777" w:rsidR="0069524A" w:rsidRDefault="0069524A" w:rsidP="00EC1FB9">
            <w:pPr>
              <w:jc w:val="center"/>
              <w:rPr>
                <w:rFonts w:cs="Arial"/>
                <w:sz w:val="20"/>
              </w:rPr>
            </w:pPr>
            <w:r>
              <w:rPr>
                <w:rFonts w:cs="Arial"/>
                <w:sz w:val="20"/>
              </w:rPr>
              <w:t>CRITICAL FAILURE</w:t>
            </w:r>
          </w:p>
        </w:tc>
      </w:tr>
      <w:tr w:rsidR="0069524A" w14:paraId="4B3E0EDC" w14:textId="77777777" w:rsidTr="00EC1FB9">
        <w:trPr>
          <w:trHeight w:val="470"/>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0FA8D22F" w14:textId="77777777" w:rsidR="0069524A" w:rsidRDefault="0069524A" w:rsidP="00EC1FB9">
            <w:pPr>
              <w:rPr>
                <w:rFonts w:cs="Arial"/>
                <w:sz w:val="20"/>
              </w:rPr>
            </w:pPr>
          </w:p>
        </w:tc>
        <w:tc>
          <w:tcPr>
            <w:tcW w:w="1854" w:type="dxa"/>
            <w:tcBorders>
              <w:top w:val="single" w:sz="4" w:space="0" w:color="auto"/>
              <w:left w:val="single" w:sz="4" w:space="0" w:color="auto"/>
              <w:bottom w:val="single" w:sz="4" w:space="0" w:color="auto"/>
              <w:right w:val="single" w:sz="4" w:space="0" w:color="auto"/>
            </w:tcBorders>
            <w:hideMark/>
          </w:tcPr>
          <w:p w14:paraId="5A941DD4" w14:textId="77777777" w:rsidR="0069524A" w:rsidRDefault="0069524A" w:rsidP="00EC1FB9">
            <w:pPr>
              <w:jc w:val="center"/>
              <w:rPr>
                <w:rFonts w:cs="Arial"/>
                <w:sz w:val="20"/>
              </w:rPr>
            </w:pPr>
            <w:r>
              <w:rPr>
                <w:rFonts w:cs="Arial"/>
                <w:sz w:val="20"/>
              </w:rPr>
              <w:t>All meeting minutes and action logs submitted on time</w:t>
            </w:r>
          </w:p>
        </w:tc>
        <w:tc>
          <w:tcPr>
            <w:tcW w:w="2977" w:type="dxa"/>
            <w:tcBorders>
              <w:top w:val="single" w:sz="4" w:space="0" w:color="auto"/>
              <w:left w:val="single" w:sz="4" w:space="0" w:color="auto"/>
              <w:bottom w:val="single" w:sz="4" w:space="0" w:color="auto"/>
              <w:right w:val="single" w:sz="4" w:space="0" w:color="auto"/>
            </w:tcBorders>
            <w:hideMark/>
          </w:tcPr>
          <w:p w14:paraId="7F49362A" w14:textId="77777777" w:rsidR="0069524A" w:rsidRDefault="0069524A" w:rsidP="00EC1FB9">
            <w:pPr>
              <w:jc w:val="center"/>
              <w:rPr>
                <w:rFonts w:cs="Arial"/>
                <w:sz w:val="20"/>
              </w:rPr>
            </w:pPr>
            <w:r>
              <w:rPr>
                <w:rFonts w:cs="Arial"/>
                <w:sz w:val="20"/>
              </w:rPr>
              <w:t>1 submission of meeting minutes and action logs not received within the time limit</w:t>
            </w:r>
          </w:p>
        </w:tc>
        <w:tc>
          <w:tcPr>
            <w:tcW w:w="2977" w:type="dxa"/>
            <w:tcBorders>
              <w:top w:val="single" w:sz="4" w:space="0" w:color="auto"/>
              <w:left w:val="single" w:sz="4" w:space="0" w:color="auto"/>
              <w:bottom w:val="single" w:sz="4" w:space="0" w:color="auto"/>
              <w:right w:val="single" w:sz="4" w:space="0" w:color="auto"/>
            </w:tcBorders>
            <w:hideMark/>
          </w:tcPr>
          <w:p w14:paraId="36AFD588" w14:textId="77777777" w:rsidR="0069524A" w:rsidRDefault="0069524A" w:rsidP="00EC1FB9">
            <w:pPr>
              <w:jc w:val="center"/>
              <w:rPr>
                <w:rFonts w:cs="Arial"/>
                <w:sz w:val="20"/>
              </w:rPr>
            </w:pPr>
            <w:r>
              <w:rPr>
                <w:rFonts w:cs="Arial"/>
                <w:sz w:val="20"/>
              </w:rPr>
              <w:t>2 submissions of meeting minutes and action logs not received within the time limit</w:t>
            </w:r>
          </w:p>
        </w:tc>
        <w:tc>
          <w:tcPr>
            <w:tcW w:w="2976" w:type="dxa"/>
            <w:tcBorders>
              <w:top w:val="single" w:sz="4" w:space="0" w:color="auto"/>
              <w:left w:val="single" w:sz="4" w:space="0" w:color="auto"/>
              <w:bottom w:val="single" w:sz="4" w:space="0" w:color="auto"/>
              <w:right w:val="single" w:sz="4" w:space="0" w:color="auto"/>
            </w:tcBorders>
            <w:hideMark/>
          </w:tcPr>
          <w:p w14:paraId="129F8805" w14:textId="77777777" w:rsidR="0069524A" w:rsidRDefault="0069524A" w:rsidP="00EC1FB9">
            <w:pPr>
              <w:jc w:val="center"/>
              <w:rPr>
                <w:rFonts w:cs="Arial"/>
                <w:sz w:val="20"/>
              </w:rPr>
            </w:pPr>
            <w:r>
              <w:rPr>
                <w:rFonts w:cs="Arial"/>
                <w:sz w:val="20"/>
              </w:rPr>
              <w:t>3 submissions of meeting minutes and action logs not received within the time limit</w:t>
            </w:r>
          </w:p>
        </w:tc>
        <w:tc>
          <w:tcPr>
            <w:tcW w:w="3261" w:type="dxa"/>
            <w:tcBorders>
              <w:top w:val="single" w:sz="4" w:space="0" w:color="auto"/>
              <w:left w:val="single" w:sz="4" w:space="0" w:color="auto"/>
              <w:bottom w:val="single" w:sz="4" w:space="0" w:color="auto"/>
              <w:right w:val="single" w:sz="4" w:space="0" w:color="auto"/>
            </w:tcBorders>
            <w:hideMark/>
          </w:tcPr>
          <w:p w14:paraId="0D31D17B" w14:textId="77777777" w:rsidR="0069524A" w:rsidRDefault="0069524A" w:rsidP="00EC1FB9">
            <w:pPr>
              <w:jc w:val="center"/>
              <w:rPr>
                <w:rFonts w:cs="Arial"/>
                <w:sz w:val="20"/>
              </w:rPr>
            </w:pPr>
            <w:r>
              <w:rPr>
                <w:rFonts w:cs="Arial"/>
                <w:sz w:val="20"/>
              </w:rPr>
              <w:t>4+ submissions of meeting minutes and action logs not received within the time limit</w:t>
            </w:r>
          </w:p>
        </w:tc>
      </w:tr>
      <w:tr w:rsidR="0069524A" w14:paraId="25F65F14" w14:textId="77777777" w:rsidTr="00EC1FB9">
        <w:tc>
          <w:tcPr>
            <w:tcW w:w="551" w:type="dxa"/>
            <w:vMerge/>
            <w:tcBorders>
              <w:top w:val="single" w:sz="4" w:space="0" w:color="auto"/>
              <w:left w:val="single" w:sz="4" w:space="0" w:color="auto"/>
              <w:bottom w:val="single" w:sz="4" w:space="0" w:color="auto"/>
              <w:right w:val="single" w:sz="4" w:space="0" w:color="auto"/>
            </w:tcBorders>
            <w:vAlign w:val="center"/>
            <w:hideMark/>
          </w:tcPr>
          <w:p w14:paraId="26CCEA16" w14:textId="77777777" w:rsidR="0069524A" w:rsidRDefault="0069524A" w:rsidP="00EC1FB9">
            <w:pPr>
              <w:rPr>
                <w:rFonts w:cs="Arial"/>
                <w:sz w:val="20"/>
              </w:rPr>
            </w:pPr>
          </w:p>
        </w:tc>
        <w:tc>
          <w:tcPr>
            <w:tcW w:w="1854" w:type="dxa"/>
            <w:tcBorders>
              <w:top w:val="single" w:sz="4" w:space="0" w:color="auto"/>
              <w:left w:val="single" w:sz="4" w:space="0" w:color="auto"/>
              <w:bottom w:val="single" w:sz="4" w:space="0" w:color="auto"/>
              <w:right w:val="single" w:sz="4" w:space="0" w:color="auto"/>
            </w:tcBorders>
            <w:hideMark/>
          </w:tcPr>
          <w:p w14:paraId="1E3D1181" w14:textId="77777777" w:rsidR="0069524A" w:rsidRDefault="0069524A" w:rsidP="00EC1FB9">
            <w:pPr>
              <w:jc w:val="center"/>
              <w:rPr>
                <w:rFonts w:cs="Arial"/>
                <w:sz w:val="20"/>
              </w:rPr>
            </w:pPr>
            <w:r>
              <w:rPr>
                <w:rFonts w:cs="Arial"/>
                <w:sz w:val="20"/>
              </w:rPr>
              <w:t>0% - No deductions</w:t>
            </w:r>
          </w:p>
        </w:tc>
        <w:tc>
          <w:tcPr>
            <w:tcW w:w="2977" w:type="dxa"/>
            <w:tcBorders>
              <w:top w:val="single" w:sz="4" w:space="0" w:color="auto"/>
              <w:left w:val="single" w:sz="4" w:space="0" w:color="auto"/>
              <w:bottom w:val="single" w:sz="4" w:space="0" w:color="auto"/>
              <w:right w:val="single" w:sz="4" w:space="0" w:color="auto"/>
            </w:tcBorders>
            <w:hideMark/>
          </w:tcPr>
          <w:p w14:paraId="27D54E97" w14:textId="77777777" w:rsidR="0069524A" w:rsidRDefault="0069524A" w:rsidP="00EC1FB9">
            <w:pPr>
              <w:jc w:val="center"/>
              <w:rPr>
                <w:rFonts w:cs="Arial"/>
                <w:sz w:val="20"/>
              </w:rPr>
            </w:pPr>
            <w:r>
              <w:rPr>
                <w:rFonts w:cs="Arial"/>
                <w:sz w:val="20"/>
              </w:rPr>
              <w:t xml:space="preserve">A deduction of 1% will be made to the quarterly payment </w:t>
            </w:r>
          </w:p>
        </w:tc>
        <w:tc>
          <w:tcPr>
            <w:tcW w:w="2977" w:type="dxa"/>
            <w:tcBorders>
              <w:top w:val="single" w:sz="4" w:space="0" w:color="auto"/>
              <w:left w:val="single" w:sz="4" w:space="0" w:color="auto"/>
              <w:bottom w:val="single" w:sz="4" w:space="0" w:color="auto"/>
              <w:right w:val="single" w:sz="4" w:space="0" w:color="auto"/>
            </w:tcBorders>
            <w:hideMark/>
          </w:tcPr>
          <w:p w14:paraId="3D34D0B2" w14:textId="77777777" w:rsidR="0069524A" w:rsidRDefault="0069524A" w:rsidP="00EC1FB9">
            <w:pPr>
              <w:jc w:val="center"/>
              <w:rPr>
                <w:rFonts w:cs="Arial"/>
                <w:sz w:val="20"/>
              </w:rPr>
            </w:pPr>
            <w:r>
              <w:rPr>
                <w:rFonts w:cs="Arial"/>
                <w:sz w:val="20"/>
              </w:rPr>
              <w:t xml:space="preserve">A deduction of 2.5% will be made to the quarterly payment </w:t>
            </w:r>
          </w:p>
        </w:tc>
        <w:tc>
          <w:tcPr>
            <w:tcW w:w="2976" w:type="dxa"/>
            <w:tcBorders>
              <w:top w:val="single" w:sz="4" w:space="0" w:color="auto"/>
              <w:left w:val="single" w:sz="4" w:space="0" w:color="auto"/>
              <w:bottom w:val="single" w:sz="4" w:space="0" w:color="auto"/>
              <w:right w:val="single" w:sz="4" w:space="0" w:color="auto"/>
            </w:tcBorders>
            <w:hideMark/>
          </w:tcPr>
          <w:p w14:paraId="2E370E56" w14:textId="77777777" w:rsidR="0069524A" w:rsidRDefault="0069524A" w:rsidP="00EC1FB9">
            <w:pPr>
              <w:jc w:val="center"/>
              <w:rPr>
                <w:rFonts w:cs="Arial"/>
                <w:sz w:val="20"/>
              </w:rPr>
            </w:pPr>
            <w:r>
              <w:rPr>
                <w:rFonts w:cs="Arial"/>
                <w:sz w:val="20"/>
              </w:rPr>
              <w:t xml:space="preserve">A deduction of 5% will be made to the quarterly payment </w:t>
            </w:r>
          </w:p>
        </w:tc>
        <w:tc>
          <w:tcPr>
            <w:tcW w:w="3261" w:type="dxa"/>
            <w:tcBorders>
              <w:top w:val="single" w:sz="4" w:space="0" w:color="auto"/>
              <w:left w:val="single" w:sz="4" w:space="0" w:color="auto"/>
              <w:bottom w:val="single" w:sz="4" w:space="0" w:color="auto"/>
              <w:right w:val="single" w:sz="4" w:space="0" w:color="auto"/>
            </w:tcBorders>
            <w:hideMark/>
          </w:tcPr>
          <w:p w14:paraId="112DD2A3" w14:textId="77777777" w:rsidR="0069524A" w:rsidRDefault="0069524A" w:rsidP="00EC1FB9">
            <w:pPr>
              <w:jc w:val="center"/>
              <w:rPr>
                <w:rFonts w:cs="Arial"/>
                <w:sz w:val="20"/>
              </w:rPr>
            </w:pPr>
            <w:r>
              <w:rPr>
                <w:rFonts w:cs="Arial"/>
                <w:sz w:val="20"/>
              </w:rPr>
              <w:t>A deduction of 7.5% will be made to the quarterly payment or Termination due to Material Breach, under Section 43 of the SC2 Terms and Conditions</w:t>
            </w:r>
          </w:p>
        </w:tc>
      </w:tr>
    </w:tbl>
    <w:p w14:paraId="77AA4E04" w14:textId="77777777" w:rsidR="0069524A" w:rsidRDefault="0069524A" w:rsidP="0069524A">
      <w:pPr>
        <w:jc w:val="both"/>
        <w:rPr>
          <w:rFonts w:cs="Arial"/>
          <w:b/>
          <w:kern w:val="0"/>
          <w:sz w:val="20"/>
          <w:lang w:eastAsia="en-GB"/>
        </w:rPr>
      </w:pPr>
    </w:p>
    <w:p w14:paraId="5B7FE1CB" w14:textId="77777777" w:rsidR="0069524A" w:rsidRDefault="0069524A" w:rsidP="0069524A">
      <w:pPr>
        <w:jc w:val="both"/>
        <w:rPr>
          <w:rFonts w:cs="Arial"/>
          <w:b/>
          <w:kern w:val="0"/>
          <w:sz w:val="20"/>
          <w:lang w:eastAsia="en-GB"/>
        </w:rPr>
      </w:pPr>
    </w:p>
    <w:p w14:paraId="06A9AAF0" w14:textId="77777777" w:rsidR="0069524A" w:rsidRDefault="0069524A" w:rsidP="0069524A">
      <w:pPr>
        <w:jc w:val="both"/>
        <w:rPr>
          <w:rFonts w:cs="Arial"/>
          <w:b/>
          <w:kern w:val="0"/>
          <w:sz w:val="20"/>
          <w:lang w:eastAsia="en-GB"/>
        </w:rPr>
      </w:pPr>
    </w:p>
    <w:p w14:paraId="63C909B8" w14:textId="4AA22FFB" w:rsidR="00C262C4" w:rsidRDefault="00C262C4" w:rsidP="00C262C4">
      <w:pPr>
        <w:ind w:left="709"/>
        <w:jc w:val="both"/>
        <w:rPr>
          <w:rFonts w:cs="Arial"/>
          <w:sz w:val="20"/>
        </w:rPr>
      </w:pPr>
      <w:r>
        <w:rPr>
          <w:rFonts w:cs="Arial"/>
          <w:sz w:val="20"/>
        </w:rPr>
        <w:t>1.3</w:t>
      </w:r>
      <w:r>
        <w:rPr>
          <w:rFonts w:cs="Arial"/>
          <w:sz w:val="20"/>
        </w:rPr>
        <w:tab/>
        <w:t>In the event</w:t>
      </w:r>
      <w:r w:rsidR="00296C03">
        <w:rPr>
          <w:rFonts w:cs="Arial"/>
          <w:sz w:val="20"/>
        </w:rPr>
        <w:t xml:space="preserve"> </w:t>
      </w:r>
      <w:r>
        <w:rPr>
          <w:rFonts w:cs="Arial"/>
          <w:sz w:val="20"/>
        </w:rPr>
        <w:t xml:space="preserve">that the Contractor’s performance against a KPI falls within the level of performance specified in “Yellow”, the Authority shall be entitled to apply a deduction </w:t>
      </w:r>
      <w:r w:rsidRPr="00C0778E">
        <w:rPr>
          <w:rFonts w:cs="Arial"/>
          <w:sz w:val="20"/>
        </w:rPr>
        <w:t>of 1%</w:t>
      </w:r>
      <w:r>
        <w:rPr>
          <w:rFonts w:cs="Arial"/>
          <w:sz w:val="20"/>
        </w:rPr>
        <w:t xml:space="preserve"> to the quarterly p</w:t>
      </w:r>
      <w:r w:rsidR="00296C03">
        <w:rPr>
          <w:rFonts w:cs="Arial"/>
          <w:sz w:val="20"/>
        </w:rPr>
        <w:t xml:space="preserve">ayment </w:t>
      </w:r>
      <w:r>
        <w:rPr>
          <w:rFonts w:cs="Arial"/>
          <w:sz w:val="20"/>
        </w:rPr>
        <w:t>for the relevant period.</w:t>
      </w:r>
    </w:p>
    <w:p w14:paraId="3286C4CA" w14:textId="77777777" w:rsidR="00C262C4" w:rsidRDefault="00C262C4" w:rsidP="00C262C4">
      <w:pPr>
        <w:ind w:left="709"/>
        <w:jc w:val="both"/>
        <w:rPr>
          <w:rFonts w:cs="Arial"/>
          <w:sz w:val="20"/>
        </w:rPr>
      </w:pPr>
      <w:r>
        <w:rPr>
          <w:rFonts w:cs="Arial"/>
          <w:sz w:val="20"/>
        </w:rPr>
        <w:lastRenderedPageBreak/>
        <w:t xml:space="preserve">  </w:t>
      </w:r>
    </w:p>
    <w:p w14:paraId="77385744" w14:textId="1DC2145C" w:rsidR="00C262C4" w:rsidRDefault="00C262C4" w:rsidP="00C262C4">
      <w:pPr>
        <w:ind w:left="709"/>
        <w:jc w:val="both"/>
        <w:rPr>
          <w:rFonts w:cs="Arial"/>
          <w:sz w:val="20"/>
        </w:rPr>
      </w:pPr>
      <w:r>
        <w:rPr>
          <w:rFonts w:cs="Arial"/>
          <w:sz w:val="20"/>
        </w:rPr>
        <w:t xml:space="preserve">1.4 </w:t>
      </w:r>
      <w:r>
        <w:rPr>
          <w:rFonts w:cs="Arial"/>
          <w:sz w:val="20"/>
        </w:rPr>
        <w:tab/>
        <w:t xml:space="preserve">In the event that the Contractor’s performance against a KPI falls within the level of performance specified in “Amber”, the Authority shall be entitled to apply a deduction </w:t>
      </w:r>
      <w:r w:rsidRPr="00C0778E">
        <w:rPr>
          <w:rFonts w:cs="Arial"/>
          <w:sz w:val="20"/>
        </w:rPr>
        <w:t>of 2.5%</w:t>
      </w:r>
      <w:r>
        <w:rPr>
          <w:rFonts w:cs="Arial"/>
          <w:sz w:val="20"/>
        </w:rPr>
        <w:t xml:space="preserve"> to the quarterly p</w:t>
      </w:r>
      <w:r w:rsidR="00296C03">
        <w:rPr>
          <w:rFonts w:cs="Arial"/>
          <w:sz w:val="20"/>
        </w:rPr>
        <w:t xml:space="preserve">ayment </w:t>
      </w:r>
      <w:r>
        <w:rPr>
          <w:rFonts w:cs="Arial"/>
          <w:sz w:val="20"/>
        </w:rPr>
        <w:t>for the relevant period.</w:t>
      </w:r>
    </w:p>
    <w:p w14:paraId="4778BC65" w14:textId="77777777" w:rsidR="00C262C4" w:rsidRDefault="00C262C4" w:rsidP="00C262C4">
      <w:pPr>
        <w:ind w:left="709"/>
        <w:jc w:val="both"/>
        <w:rPr>
          <w:rFonts w:cs="Arial"/>
          <w:sz w:val="20"/>
        </w:rPr>
      </w:pPr>
    </w:p>
    <w:p w14:paraId="7DE04FB8" w14:textId="3993D32E" w:rsidR="00C262C4" w:rsidRPr="00C0778E" w:rsidRDefault="00C262C4" w:rsidP="00C262C4">
      <w:pPr>
        <w:ind w:left="709"/>
        <w:jc w:val="both"/>
        <w:rPr>
          <w:rFonts w:cs="Arial"/>
          <w:sz w:val="20"/>
        </w:rPr>
      </w:pPr>
      <w:r>
        <w:rPr>
          <w:rFonts w:cs="Arial"/>
          <w:sz w:val="20"/>
        </w:rPr>
        <w:t>1.5</w:t>
      </w:r>
      <w:r>
        <w:rPr>
          <w:rFonts w:cs="Arial"/>
          <w:sz w:val="20"/>
        </w:rPr>
        <w:tab/>
        <w:t xml:space="preserve">In the event that the Contractor’s performance against a KPI falls within the level of performance specified in “Red”, the Authority shall be entitled to apply a deduction </w:t>
      </w:r>
      <w:r w:rsidRPr="00C0778E">
        <w:rPr>
          <w:rFonts w:cs="Arial"/>
          <w:sz w:val="20"/>
        </w:rPr>
        <w:t>of 5%</w:t>
      </w:r>
      <w:r>
        <w:rPr>
          <w:rFonts w:cs="Arial"/>
          <w:sz w:val="20"/>
        </w:rPr>
        <w:t xml:space="preserve"> </w:t>
      </w:r>
      <w:r w:rsidRPr="00C0778E">
        <w:rPr>
          <w:rFonts w:cs="Arial"/>
          <w:sz w:val="20"/>
        </w:rPr>
        <w:t>to the quarterly p</w:t>
      </w:r>
      <w:r w:rsidR="00296C03" w:rsidRPr="00C0778E">
        <w:rPr>
          <w:rFonts w:cs="Arial"/>
          <w:sz w:val="20"/>
        </w:rPr>
        <w:t xml:space="preserve">ayment </w:t>
      </w:r>
      <w:r w:rsidRPr="00C0778E">
        <w:rPr>
          <w:rFonts w:cs="Arial"/>
          <w:sz w:val="20"/>
        </w:rPr>
        <w:t>for the relevant period.</w:t>
      </w:r>
    </w:p>
    <w:p w14:paraId="215F4EAA" w14:textId="77777777" w:rsidR="00C262C4" w:rsidRPr="00C0778E" w:rsidRDefault="00C262C4" w:rsidP="00C262C4">
      <w:pPr>
        <w:tabs>
          <w:tab w:val="left" w:pos="4605"/>
        </w:tabs>
        <w:ind w:left="709"/>
        <w:jc w:val="both"/>
        <w:rPr>
          <w:rFonts w:cs="Arial"/>
          <w:sz w:val="20"/>
        </w:rPr>
      </w:pPr>
      <w:r w:rsidRPr="00C0778E">
        <w:rPr>
          <w:rFonts w:cs="Arial"/>
          <w:sz w:val="20"/>
        </w:rPr>
        <w:tab/>
      </w:r>
    </w:p>
    <w:p w14:paraId="60599D4F" w14:textId="38D6EE48" w:rsidR="00C262C4" w:rsidRDefault="00C262C4" w:rsidP="00C262C4">
      <w:pPr>
        <w:ind w:left="709"/>
        <w:jc w:val="both"/>
        <w:rPr>
          <w:rFonts w:cs="Arial"/>
          <w:sz w:val="20"/>
        </w:rPr>
      </w:pPr>
      <w:r w:rsidRPr="00C0778E">
        <w:rPr>
          <w:rFonts w:cs="Arial"/>
          <w:sz w:val="20"/>
        </w:rPr>
        <w:t>1.6</w:t>
      </w:r>
      <w:r w:rsidRPr="00C0778E">
        <w:rPr>
          <w:rFonts w:cs="Arial"/>
          <w:sz w:val="20"/>
        </w:rPr>
        <w:tab/>
        <w:t>In the</w:t>
      </w:r>
      <w:r>
        <w:rPr>
          <w:rFonts w:cs="Arial"/>
          <w:sz w:val="20"/>
        </w:rPr>
        <w:t xml:space="preserve"> event that the Contractor’s performance against a KPI falls within the level of performance specified as “Critical Failure”, the Authority shall be entitled to </w:t>
      </w:r>
      <w:r w:rsidR="00296C03">
        <w:rPr>
          <w:rFonts w:cs="Arial"/>
          <w:sz w:val="20"/>
        </w:rPr>
        <w:t xml:space="preserve">apply a deduction </w:t>
      </w:r>
      <w:r w:rsidR="00296C03" w:rsidRPr="00C0778E">
        <w:rPr>
          <w:rFonts w:cs="Arial"/>
          <w:sz w:val="20"/>
        </w:rPr>
        <w:t>of 7.5%</w:t>
      </w:r>
      <w:r w:rsidR="00296C03">
        <w:rPr>
          <w:rFonts w:cs="Arial"/>
          <w:sz w:val="20"/>
        </w:rPr>
        <w:t xml:space="preserve"> to the quarterly payment for the relevant period </w:t>
      </w:r>
      <w:r w:rsidR="00541D76">
        <w:rPr>
          <w:rFonts w:cs="Arial"/>
          <w:sz w:val="20"/>
        </w:rPr>
        <w:t>or to terminate the Contract</w:t>
      </w:r>
      <w:r w:rsidR="00541D76">
        <w:t xml:space="preserve"> </w:t>
      </w:r>
      <w:r w:rsidR="00541D76">
        <w:rPr>
          <w:rFonts w:cs="Arial"/>
          <w:sz w:val="20"/>
        </w:rPr>
        <w:t>due to a Material Breach, under Section 43 of the SC2 Terms and Conditions</w:t>
      </w:r>
      <w:r>
        <w:rPr>
          <w:rFonts w:cs="Arial"/>
          <w:sz w:val="20"/>
        </w:rPr>
        <w:t>.</w:t>
      </w:r>
    </w:p>
    <w:p w14:paraId="68F4B976" w14:textId="77777777" w:rsidR="00C262C4" w:rsidRDefault="00C262C4" w:rsidP="00C262C4">
      <w:pPr>
        <w:ind w:left="709"/>
        <w:jc w:val="both"/>
        <w:rPr>
          <w:rFonts w:cs="Arial"/>
          <w:sz w:val="20"/>
        </w:rPr>
      </w:pPr>
    </w:p>
    <w:p w14:paraId="0F7BD4F0" w14:textId="77777777" w:rsidR="00C262C4" w:rsidRDefault="00C262C4" w:rsidP="00C262C4">
      <w:pPr>
        <w:ind w:left="709"/>
        <w:jc w:val="both"/>
        <w:rPr>
          <w:rFonts w:cs="Arial"/>
          <w:sz w:val="20"/>
        </w:rPr>
      </w:pPr>
      <w:r>
        <w:rPr>
          <w:rFonts w:cs="Arial"/>
          <w:sz w:val="20"/>
        </w:rPr>
        <w:t>1.7</w:t>
      </w:r>
      <w:r>
        <w:rPr>
          <w:rFonts w:cs="Arial"/>
          <w:sz w:val="20"/>
        </w:rPr>
        <w:tab/>
        <w:t>Should the Contractor fail to meet the required level of performance for a KPI (i.e. its performance against the KPI is any combination of “Yellow, Amber or Red”) for two (2) consecutive quarters, it shall provide the Authority with a written Recovery Plan.</w:t>
      </w:r>
    </w:p>
    <w:p w14:paraId="1CA4B256" w14:textId="77777777" w:rsidR="00C262C4" w:rsidRDefault="00C262C4" w:rsidP="00C262C4">
      <w:pPr>
        <w:ind w:left="709"/>
        <w:jc w:val="both"/>
        <w:rPr>
          <w:rFonts w:cs="Arial"/>
          <w:sz w:val="20"/>
        </w:rPr>
      </w:pPr>
    </w:p>
    <w:p w14:paraId="755A5B17" w14:textId="77777777" w:rsidR="00C262C4" w:rsidRDefault="00C262C4" w:rsidP="00C262C4">
      <w:pPr>
        <w:ind w:left="709"/>
        <w:jc w:val="both"/>
        <w:rPr>
          <w:rFonts w:cs="Arial"/>
          <w:sz w:val="20"/>
        </w:rPr>
      </w:pPr>
      <w:r>
        <w:rPr>
          <w:rFonts w:cs="Arial"/>
          <w:sz w:val="20"/>
        </w:rPr>
        <w:t>1.8</w:t>
      </w:r>
      <w:r>
        <w:rPr>
          <w:rFonts w:cs="Arial"/>
          <w:sz w:val="20"/>
        </w:rPr>
        <w:tab/>
        <w:t>Should the Contractor fail to meet the required level of performance for a KPI (i.e. its performance against the KPI is any combination of “Yellow, Amber and Red”) for three (3) consecutive quarters the Authority has the right to terminate the Contract under DEFCON 514.</w:t>
      </w:r>
    </w:p>
    <w:p w14:paraId="266576FF" w14:textId="77777777" w:rsidR="00C262C4" w:rsidRDefault="00C262C4" w:rsidP="00C262C4">
      <w:pPr>
        <w:ind w:left="709"/>
        <w:jc w:val="both"/>
        <w:rPr>
          <w:rFonts w:cs="Arial"/>
          <w:sz w:val="20"/>
        </w:rPr>
      </w:pPr>
    </w:p>
    <w:p w14:paraId="1D92CF02" w14:textId="77777777" w:rsidR="00C262C4" w:rsidRDefault="00C262C4" w:rsidP="00C262C4">
      <w:pPr>
        <w:ind w:left="709"/>
        <w:jc w:val="both"/>
        <w:rPr>
          <w:rFonts w:cs="Arial"/>
          <w:sz w:val="20"/>
        </w:rPr>
      </w:pPr>
      <w:r>
        <w:rPr>
          <w:rFonts w:cs="Arial"/>
          <w:sz w:val="20"/>
        </w:rPr>
        <w:t>1.9</w:t>
      </w:r>
      <w:r>
        <w:rPr>
          <w:rFonts w:cs="Arial"/>
          <w:sz w:val="20"/>
        </w:rPr>
        <w:tab/>
        <w:t>The Contractor’s performance against the KPIs will be assessed separately and the Authority shall aggregate any applicable deductions against all KPI faults and reduce the quarterly payment by the cumulative amount of both deductions. For example:</w:t>
      </w:r>
    </w:p>
    <w:p w14:paraId="241C4650" w14:textId="77777777" w:rsidR="00C262C4" w:rsidRDefault="00C262C4" w:rsidP="00C262C4">
      <w:pPr>
        <w:ind w:left="709"/>
        <w:jc w:val="both"/>
        <w:rPr>
          <w:rFonts w:cs="Arial"/>
          <w:sz w:val="20"/>
        </w:rPr>
      </w:pPr>
    </w:p>
    <w:p w14:paraId="6BC22295" w14:textId="5E2C879D" w:rsidR="00C262C4" w:rsidRDefault="00C262C4" w:rsidP="00C262C4">
      <w:pPr>
        <w:ind w:left="1440"/>
        <w:jc w:val="both"/>
        <w:rPr>
          <w:rFonts w:cs="Arial"/>
          <w:sz w:val="20"/>
        </w:rPr>
      </w:pPr>
      <w:r>
        <w:rPr>
          <w:rFonts w:cs="Arial"/>
          <w:sz w:val="20"/>
        </w:rPr>
        <w:t>If the Contractor’s performance in a given quarter equated to a ‘Red’ level of performance under KPI</w:t>
      </w:r>
      <w:r w:rsidR="008B6E35">
        <w:rPr>
          <w:rFonts w:cs="Arial"/>
          <w:sz w:val="20"/>
        </w:rPr>
        <w:t xml:space="preserve"> </w:t>
      </w:r>
      <w:r>
        <w:rPr>
          <w:rFonts w:cs="Arial"/>
          <w:sz w:val="20"/>
        </w:rPr>
        <w:t>1 and a ‘Yellow’ level of performance under KPI</w:t>
      </w:r>
      <w:r w:rsidR="008B6E35">
        <w:rPr>
          <w:rFonts w:cs="Arial"/>
          <w:sz w:val="20"/>
        </w:rPr>
        <w:t xml:space="preserve"> </w:t>
      </w:r>
      <w:r>
        <w:rPr>
          <w:rFonts w:cs="Arial"/>
          <w:sz w:val="20"/>
        </w:rPr>
        <w:t xml:space="preserve">2 the individual deductions for each KPI would </w:t>
      </w:r>
      <w:r w:rsidRPr="00C0778E">
        <w:rPr>
          <w:rFonts w:cs="Arial"/>
          <w:sz w:val="20"/>
        </w:rPr>
        <w:t xml:space="preserve">be 5% and </w:t>
      </w:r>
      <w:r w:rsidR="008B6E35" w:rsidRPr="00C0778E">
        <w:rPr>
          <w:rFonts w:cs="Arial"/>
          <w:sz w:val="20"/>
        </w:rPr>
        <w:t>1</w:t>
      </w:r>
      <w:r w:rsidRPr="00C0778E">
        <w:rPr>
          <w:rFonts w:cs="Arial"/>
          <w:sz w:val="20"/>
        </w:rPr>
        <w:t xml:space="preserve">% respectively of the quarterly payment. Thus, the aggregated sum to be deducted from the quarterly payment would be an amount equal to </w:t>
      </w:r>
      <w:r w:rsidR="008B6E35" w:rsidRPr="00C0778E">
        <w:rPr>
          <w:rFonts w:cs="Arial"/>
          <w:sz w:val="20"/>
        </w:rPr>
        <w:t>6</w:t>
      </w:r>
      <w:r w:rsidRPr="00C0778E">
        <w:rPr>
          <w:rFonts w:cs="Arial"/>
          <w:sz w:val="20"/>
        </w:rPr>
        <w:t>% of the quarterly payment.</w:t>
      </w:r>
    </w:p>
    <w:p w14:paraId="11B59ED3" w14:textId="77777777" w:rsidR="00C262C4" w:rsidRDefault="00C262C4" w:rsidP="00C262C4">
      <w:pPr>
        <w:ind w:left="709"/>
        <w:jc w:val="both"/>
        <w:rPr>
          <w:rFonts w:cs="Arial"/>
          <w:sz w:val="20"/>
          <w:highlight w:val="green"/>
        </w:rPr>
      </w:pPr>
    </w:p>
    <w:p w14:paraId="7F9ABF51" w14:textId="77777777" w:rsidR="00C262C4" w:rsidRDefault="00C262C4" w:rsidP="00C262C4">
      <w:pPr>
        <w:ind w:left="720"/>
        <w:jc w:val="both"/>
        <w:rPr>
          <w:rFonts w:cs="Arial"/>
          <w:sz w:val="20"/>
        </w:rPr>
      </w:pPr>
      <w:r>
        <w:rPr>
          <w:rFonts w:cs="Arial"/>
          <w:sz w:val="20"/>
        </w:rPr>
        <w:t>1.10</w:t>
      </w:r>
      <w:r>
        <w:rPr>
          <w:rFonts w:cs="Arial"/>
          <w:sz w:val="20"/>
        </w:rPr>
        <w:tab/>
        <w:t xml:space="preserve">Where a fault is deemed not to be the responsibility of the Contractor then it shall not count towards the KPI calculations. </w:t>
      </w:r>
    </w:p>
    <w:p w14:paraId="6EAA8F3E" w14:textId="77777777" w:rsidR="00C262C4" w:rsidRDefault="00C262C4" w:rsidP="00C262C4">
      <w:pPr>
        <w:ind w:left="720"/>
        <w:jc w:val="both"/>
        <w:rPr>
          <w:rFonts w:cs="Arial"/>
          <w:sz w:val="20"/>
        </w:rPr>
      </w:pPr>
    </w:p>
    <w:p w14:paraId="20463171" w14:textId="77777777" w:rsidR="00C262C4" w:rsidRDefault="00C262C4" w:rsidP="00C262C4">
      <w:pPr>
        <w:ind w:left="720"/>
        <w:jc w:val="both"/>
        <w:rPr>
          <w:rFonts w:cs="Arial"/>
          <w:sz w:val="20"/>
        </w:rPr>
      </w:pPr>
      <w:r>
        <w:rPr>
          <w:rFonts w:cs="Arial"/>
          <w:sz w:val="20"/>
        </w:rPr>
        <w:t>1.11</w:t>
      </w:r>
      <w:r>
        <w:rPr>
          <w:rFonts w:cs="Arial"/>
          <w:sz w:val="20"/>
        </w:rPr>
        <w:tab/>
        <w:t>Deductions will be applied quarterly in arrears.  Where it is determined that the Contractor was responsible for not meeting one or more of KPIs, the relevant deduction (calculated as set out above) will be applied to the payment for the subsequent quarter.</w:t>
      </w:r>
    </w:p>
    <w:p w14:paraId="3FE36F87" w14:textId="77777777" w:rsidR="00C262C4" w:rsidRDefault="00C262C4" w:rsidP="00C262C4">
      <w:pPr>
        <w:ind w:left="720"/>
        <w:jc w:val="both"/>
        <w:rPr>
          <w:rFonts w:cs="Arial"/>
          <w:sz w:val="20"/>
        </w:rPr>
      </w:pPr>
    </w:p>
    <w:p w14:paraId="133A5FB8" w14:textId="77777777" w:rsidR="00C262C4" w:rsidRDefault="00C262C4" w:rsidP="00C262C4">
      <w:pPr>
        <w:ind w:left="720"/>
        <w:jc w:val="both"/>
        <w:rPr>
          <w:rFonts w:cs="Arial"/>
          <w:sz w:val="20"/>
        </w:rPr>
      </w:pPr>
      <w:r>
        <w:rPr>
          <w:rFonts w:cs="Arial"/>
          <w:sz w:val="20"/>
        </w:rPr>
        <w:t>1.12</w:t>
      </w:r>
      <w:r>
        <w:rPr>
          <w:rFonts w:cs="Arial"/>
          <w:sz w:val="20"/>
        </w:rPr>
        <w:tab/>
        <w:t xml:space="preserve">Any deductions, as a result of any failure to achieve one or more of the KPIs, in last two quarters of the contract will be applied in aggregate to the final quarterly payment.  </w:t>
      </w:r>
    </w:p>
    <w:p w14:paraId="2741ACEA" w14:textId="77777777" w:rsidR="009300E0" w:rsidRPr="00B44ACC" w:rsidRDefault="009300E0" w:rsidP="00C262C4">
      <w:pPr>
        <w:rPr>
          <w:b/>
          <w:sz w:val="20"/>
        </w:rPr>
      </w:pPr>
    </w:p>
    <w:sectPr w:rsidR="009300E0" w:rsidRPr="00B44ACC" w:rsidSect="00407F43">
      <w:headerReference w:type="even" r:id="rId14"/>
      <w:headerReference w:type="default" r:id="rId15"/>
      <w:footerReference w:type="even" r:id="rId16"/>
      <w:footerReference w:type="default" r:id="rId17"/>
      <w:headerReference w:type="first" r:id="rId18"/>
      <w:footerReference w:type="first" r:id="rId19"/>
      <w:endnotePr>
        <w:numFmt w:val="decimal"/>
      </w:endnotePr>
      <w:pgSz w:w="16840" w:h="11907" w:orient="landscape" w:code="9"/>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1449E" w14:textId="77777777" w:rsidR="00ED79EA" w:rsidRDefault="00ED79EA"/>
  </w:endnote>
  <w:endnote w:type="continuationSeparator" w:id="0">
    <w:p w14:paraId="72D40281" w14:textId="77777777" w:rsidR="00ED79EA" w:rsidRDefault="00ED7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B7E11" w14:textId="77777777" w:rsidR="00CA0FD2" w:rsidRDefault="00CA0F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95232"/>
      <w:docPartObj>
        <w:docPartGallery w:val="Page Numbers (Bottom of Page)"/>
        <w:docPartUnique/>
      </w:docPartObj>
    </w:sdtPr>
    <w:sdtEndPr>
      <w:rPr>
        <w:rFonts w:ascii="Times New Roman" w:hAnsi="Times New Roman"/>
        <w:noProof/>
        <w:sz w:val="20"/>
      </w:rPr>
    </w:sdtEndPr>
    <w:sdtContent>
      <w:p w14:paraId="5E22153A" w14:textId="70703138" w:rsidR="00F167F3" w:rsidRPr="002E7566" w:rsidRDefault="002E7566" w:rsidP="002E7566">
        <w:pPr>
          <w:pStyle w:val="Footer"/>
          <w:spacing w:before="0"/>
          <w:jc w:val="center"/>
          <w:rPr>
            <w:rFonts w:ascii="Times New Roman" w:hAnsi="Times New Roman"/>
            <w:sz w:val="20"/>
          </w:rPr>
        </w:pPr>
        <w:r w:rsidRPr="002E7566">
          <w:rPr>
            <w:rFonts w:ascii="Times New Roman" w:hAnsi="Times New Roman"/>
            <w:sz w:val="20"/>
          </w:rPr>
          <w:t xml:space="preserve">Sch. </w:t>
        </w:r>
        <w:r>
          <w:rPr>
            <w:rFonts w:ascii="Times New Roman" w:hAnsi="Times New Roman"/>
            <w:sz w:val="20"/>
          </w:rPr>
          <w:t>14</w:t>
        </w:r>
        <w:r w:rsidRPr="002E7566">
          <w:rPr>
            <w:rFonts w:ascii="Times New Roman" w:hAnsi="Times New Roman"/>
            <w:sz w:val="20"/>
          </w:rPr>
          <w:t>-</w:t>
        </w:r>
        <w:r w:rsidRPr="002E7566">
          <w:rPr>
            <w:rStyle w:val="PageNumber"/>
            <w:rFonts w:ascii="Times New Roman" w:hAnsi="Times New Roman"/>
            <w:sz w:val="20"/>
          </w:rPr>
          <w:fldChar w:fldCharType="begin"/>
        </w:r>
        <w:r w:rsidRPr="002E7566">
          <w:rPr>
            <w:rStyle w:val="PageNumber"/>
            <w:rFonts w:ascii="Times New Roman" w:hAnsi="Times New Roman"/>
            <w:sz w:val="20"/>
          </w:rPr>
          <w:instrText xml:space="preserve"> PAGE </w:instrText>
        </w:r>
        <w:r w:rsidRPr="002E7566">
          <w:rPr>
            <w:rStyle w:val="PageNumber"/>
            <w:rFonts w:ascii="Times New Roman" w:hAnsi="Times New Roman"/>
            <w:sz w:val="20"/>
          </w:rPr>
          <w:fldChar w:fldCharType="separate"/>
        </w:r>
        <w:r w:rsidRPr="002E7566">
          <w:rPr>
            <w:rStyle w:val="PageNumber"/>
            <w:rFonts w:ascii="Times New Roman" w:hAnsi="Times New Roman"/>
            <w:sz w:val="20"/>
          </w:rPr>
          <w:t>1</w:t>
        </w:r>
        <w:r w:rsidRPr="002E7566">
          <w:rPr>
            <w:rStyle w:val="PageNumber"/>
            <w:rFonts w:ascii="Times New Roman" w:hAnsi="Times New Roman"/>
            <w:sz w:val="20"/>
          </w:rPr>
          <w:fldChar w:fldCharType="end"/>
        </w:r>
        <w:r w:rsidRPr="002E7566">
          <w:rPr>
            <w:rStyle w:val="PageNumber"/>
            <w:rFonts w:ascii="Times New Roman" w:hAnsi="Times New Roman"/>
            <w:sz w:val="20"/>
          </w:rPr>
          <w:t xml:space="preserve"> </w:t>
        </w:r>
        <w:r>
          <w:rPr>
            <w:rStyle w:val="PageNumber"/>
            <w:rFonts w:ascii="Times New Roman" w:hAnsi="Times New Roman"/>
            <w:sz w:val="20"/>
          </w:rPr>
          <w:t xml:space="preserve">of </w:t>
        </w:r>
        <w:r w:rsidRPr="002E7566">
          <w:rPr>
            <w:rStyle w:val="PageNumber"/>
            <w:rFonts w:ascii="Times New Roman" w:hAnsi="Times New Roman"/>
            <w:sz w:val="20"/>
          </w:rPr>
          <w:fldChar w:fldCharType="begin"/>
        </w:r>
        <w:r w:rsidRPr="002E7566">
          <w:rPr>
            <w:rStyle w:val="PageNumber"/>
            <w:rFonts w:ascii="Times New Roman" w:hAnsi="Times New Roman"/>
            <w:sz w:val="20"/>
          </w:rPr>
          <w:instrText xml:space="preserve"> SECTIONPAGES   \* MERGEFORMAT </w:instrText>
        </w:r>
        <w:r w:rsidRPr="002E7566">
          <w:rPr>
            <w:rStyle w:val="PageNumber"/>
            <w:rFonts w:ascii="Times New Roman" w:hAnsi="Times New Roman"/>
            <w:sz w:val="20"/>
          </w:rPr>
          <w:fldChar w:fldCharType="separate"/>
        </w:r>
        <w:r w:rsidR="00CA0FD2">
          <w:rPr>
            <w:rStyle w:val="PageNumber"/>
            <w:rFonts w:ascii="Times New Roman" w:hAnsi="Times New Roman"/>
            <w:noProof/>
            <w:sz w:val="20"/>
          </w:rPr>
          <w:t>3</w:t>
        </w:r>
        <w:r w:rsidRPr="002E7566">
          <w:rPr>
            <w:rStyle w:val="PageNumber"/>
            <w:rFonts w:ascii="Times New Roman" w:hAnsi="Times New Roman"/>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09980" w14:textId="77777777" w:rsidR="00CA0FD2" w:rsidRDefault="00CA0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FD8FF" w14:textId="77777777" w:rsidR="00ED79EA" w:rsidRDefault="00ED79EA">
      <w:r>
        <w:continuationSeparator/>
      </w:r>
    </w:p>
  </w:footnote>
  <w:footnote w:type="continuationSeparator" w:id="0">
    <w:p w14:paraId="4BC9A43F" w14:textId="77777777" w:rsidR="00ED79EA" w:rsidRDefault="00ED7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50740" w14:textId="77777777" w:rsidR="00CA0FD2" w:rsidRDefault="00CA0F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40682" w14:textId="00FEEA0D" w:rsidR="009264A4" w:rsidRPr="002E7566" w:rsidRDefault="009264A4" w:rsidP="009264A4">
    <w:pPr>
      <w:pStyle w:val="Header"/>
      <w:spacing w:after="0"/>
      <w:jc w:val="right"/>
      <w:rPr>
        <w:szCs w:val="22"/>
      </w:rPr>
    </w:pPr>
    <w:r w:rsidRPr="002E7566">
      <w:rPr>
        <w:szCs w:val="22"/>
      </w:rPr>
      <w:t>SC2 Edi</w:t>
    </w:r>
    <w:r w:rsidR="001A3907" w:rsidRPr="002E7566">
      <w:rPr>
        <w:szCs w:val="22"/>
      </w:rPr>
      <w:t xml:space="preserve">tion </w:t>
    </w:r>
    <w:r w:rsidR="00CA0FD2">
      <w:rPr>
        <w:szCs w:val="22"/>
      </w:rPr>
      <w:t>11</w:t>
    </w:r>
    <w:bookmarkStart w:id="0" w:name="_GoBack"/>
    <w:bookmarkEnd w:id="0"/>
    <w:r w:rsidR="001A3907" w:rsidRPr="002E7566">
      <w:rPr>
        <w:szCs w:val="22"/>
      </w:rPr>
      <w:t>/20</w:t>
    </w:r>
  </w:p>
  <w:p w14:paraId="53D1E160" w14:textId="7019AC6D" w:rsidR="00790511" w:rsidRPr="002E7566" w:rsidRDefault="00BC41CD" w:rsidP="009264A4">
    <w:pPr>
      <w:pStyle w:val="Header"/>
      <w:spacing w:after="0"/>
      <w:jc w:val="right"/>
      <w:rPr>
        <w:szCs w:val="22"/>
      </w:rPr>
    </w:pPr>
    <w:r w:rsidRPr="002E7566">
      <w:rPr>
        <w:szCs w:val="22"/>
      </w:rPr>
      <w:t xml:space="preserve">Schedule </w:t>
    </w:r>
    <w:r w:rsidR="001A3907" w:rsidRPr="002E7566">
      <w:rPr>
        <w:szCs w:val="22"/>
      </w:rPr>
      <w:t>14</w:t>
    </w:r>
    <w:r w:rsidR="009264A4" w:rsidRPr="002E7566">
      <w:rPr>
        <w:szCs w:val="22"/>
      </w:rPr>
      <w:t xml:space="preserve"> to</w:t>
    </w:r>
  </w:p>
  <w:p w14:paraId="35C01331" w14:textId="339837C8" w:rsidR="00790511" w:rsidRPr="002E7566" w:rsidRDefault="00D24BB9" w:rsidP="00790511">
    <w:pPr>
      <w:pStyle w:val="Header"/>
      <w:spacing w:after="0"/>
      <w:jc w:val="right"/>
      <w:rPr>
        <w:szCs w:val="22"/>
      </w:rPr>
    </w:pPr>
    <w:r w:rsidRPr="002E7566">
      <w:rPr>
        <w:szCs w:val="22"/>
      </w:rPr>
      <w:t>S</w:t>
    </w:r>
    <w:r w:rsidR="000D1CEE" w:rsidRPr="002E7566">
      <w:rPr>
        <w:szCs w:val="22"/>
      </w:rPr>
      <w:t>ACC/000</w:t>
    </w:r>
    <w:r w:rsidR="002E0926" w:rsidRPr="002E7566">
      <w:rPr>
        <w:szCs w:val="22"/>
      </w:rPr>
      <w:t>7</w:t>
    </w:r>
    <w:r w:rsidR="004F6333" w:rsidRPr="002E7566">
      <w:rPr>
        <w:szCs w:val="22"/>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897F1" w14:textId="77777777" w:rsidR="00CA0FD2" w:rsidRDefault="00CA0F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324B31E1"/>
    <w:multiLevelType w:val="hybridMultilevel"/>
    <w:tmpl w:val="E06C24E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4" w15:restartNumberingAfterBreak="0">
    <w:nsid w:val="3E16002D"/>
    <w:multiLevelType w:val="hybridMultilevel"/>
    <w:tmpl w:val="D806FBDE"/>
    <w:lvl w:ilvl="0" w:tplc="677A49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61F63FB"/>
    <w:multiLevelType w:val="hybridMultilevel"/>
    <w:tmpl w:val="DE40D634"/>
    <w:lvl w:ilvl="0" w:tplc="6A2452BE">
      <w:start w:val="1"/>
      <w:numFmt w:val="lowerLetter"/>
      <w:lvlText w:val="%1."/>
      <w:lvlJc w:val="left"/>
      <w:pPr>
        <w:ind w:left="720" w:hanging="360"/>
      </w:pPr>
      <w:rPr>
        <w:rFonts w:cs="Times New Roman"/>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8"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num w:numId="1">
    <w:abstractNumId w:val="7"/>
  </w:num>
  <w:num w:numId="2">
    <w:abstractNumId w:val="1"/>
  </w:num>
  <w:num w:numId="3">
    <w:abstractNumId w:val="3"/>
  </w:num>
  <w:num w:numId="4">
    <w:abstractNumId w:val="5"/>
  </w:num>
  <w:num w:numId="5">
    <w:abstractNumId w:val="8"/>
  </w:num>
  <w:num w:numId="6">
    <w:abstractNumId w:val="0"/>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L Format" w:val="RL"/>
    <w:docVar w:name="DW Format" w:val="L0"/>
    <w:docVar w:name="DW FormatName" w:val="Letter"/>
    <w:docVar w:name="DW SBapp" w:val=" 0"/>
    <w:docVar w:name="DW SBfap" w:val=" 1"/>
    <w:docVar w:name="DW SigBlock" w:val="1"/>
  </w:docVars>
  <w:rsids>
    <w:rsidRoot w:val="006D1F0E"/>
    <w:rsid w:val="0001730B"/>
    <w:rsid w:val="00021696"/>
    <w:rsid w:val="00031724"/>
    <w:rsid w:val="00034808"/>
    <w:rsid w:val="000353D3"/>
    <w:rsid w:val="00040C17"/>
    <w:rsid w:val="000410BA"/>
    <w:rsid w:val="00043158"/>
    <w:rsid w:val="0005315A"/>
    <w:rsid w:val="00066D7E"/>
    <w:rsid w:val="0007345F"/>
    <w:rsid w:val="000770AC"/>
    <w:rsid w:val="0008065C"/>
    <w:rsid w:val="000829EB"/>
    <w:rsid w:val="00097863"/>
    <w:rsid w:val="000A7344"/>
    <w:rsid w:val="000D1CEE"/>
    <w:rsid w:val="000E7767"/>
    <w:rsid w:val="000F1589"/>
    <w:rsid w:val="000F7FB5"/>
    <w:rsid w:val="0014122C"/>
    <w:rsid w:val="00142A85"/>
    <w:rsid w:val="00165CF1"/>
    <w:rsid w:val="0017091E"/>
    <w:rsid w:val="001A3907"/>
    <w:rsid w:val="001B22A6"/>
    <w:rsid w:val="001C3CF8"/>
    <w:rsid w:val="001D7CF0"/>
    <w:rsid w:val="00217C84"/>
    <w:rsid w:val="00236F6E"/>
    <w:rsid w:val="0024363E"/>
    <w:rsid w:val="0025480D"/>
    <w:rsid w:val="0026197C"/>
    <w:rsid w:val="00266C79"/>
    <w:rsid w:val="00277C7D"/>
    <w:rsid w:val="00285E45"/>
    <w:rsid w:val="00287760"/>
    <w:rsid w:val="00296C03"/>
    <w:rsid w:val="002A0EDC"/>
    <w:rsid w:val="002A4ADD"/>
    <w:rsid w:val="002E0926"/>
    <w:rsid w:val="002E7566"/>
    <w:rsid w:val="002F4C42"/>
    <w:rsid w:val="003050CA"/>
    <w:rsid w:val="003142CC"/>
    <w:rsid w:val="00320A4C"/>
    <w:rsid w:val="0032105C"/>
    <w:rsid w:val="003432D9"/>
    <w:rsid w:val="00354932"/>
    <w:rsid w:val="00355914"/>
    <w:rsid w:val="00383685"/>
    <w:rsid w:val="003B1441"/>
    <w:rsid w:val="003B3650"/>
    <w:rsid w:val="003D11AE"/>
    <w:rsid w:val="003D1455"/>
    <w:rsid w:val="003D5319"/>
    <w:rsid w:val="003E3CAA"/>
    <w:rsid w:val="003E4523"/>
    <w:rsid w:val="00402F29"/>
    <w:rsid w:val="00407F43"/>
    <w:rsid w:val="00412E33"/>
    <w:rsid w:val="00417912"/>
    <w:rsid w:val="00460C6F"/>
    <w:rsid w:val="00464C26"/>
    <w:rsid w:val="0048058E"/>
    <w:rsid w:val="0048772C"/>
    <w:rsid w:val="00492CF2"/>
    <w:rsid w:val="004A766B"/>
    <w:rsid w:val="004D0373"/>
    <w:rsid w:val="004D6FF1"/>
    <w:rsid w:val="004E0A84"/>
    <w:rsid w:val="004E3A09"/>
    <w:rsid w:val="004F6333"/>
    <w:rsid w:val="005037CF"/>
    <w:rsid w:val="0053576F"/>
    <w:rsid w:val="005376E7"/>
    <w:rsid w:val="00541D76"/>
    <w:rsid w:val="005441D1"/>
    <w:rsid w:val="00551EE5"/>
    <w:rsid w:val="005525D8"/>
    <w:rsid w:val="00567767"/>
    <w:rsid w:val="005846B0"/>
    <w:rsid w:val="00585394"/>
    <w:rsid w:val="00595ADA"/>
    <w:rsid w:val="005B2CE6"/>
    <w:rsid w:val="005B458C"/>
    <w:rsid w:val="005B7B3E"/>
    <w:rsid w:val="005C74DD"/>
    <w:rsid w:val="005D2700"/>
    <w:rsid w:val="005E1DA6"/>
    <w:rsid w:val="005E540F"/>
    <w:rsid w:val="005F3170"/>
    <w:rsid w:val="006031DD"/>
    <w:rsid w:val="006215B7"/>
    <w:rsid w:val="00622D5B"/>
    <w:rsid w:val="006356BB"/>
    <w:rsid w:val="00644CA4"/>
    <w:rsid w:val="0065338D"/>
    <w:rsid w:val="0065530D"/>
    <w:rsid w:val="006566BE"/>
    <w:rsid w:val="006807EF"/>
    <w:rsid w:val="006839F1"/>
    <w:rsid w:val="00686577"/>
    <w:rsid w:val="0069524A"/>
    <w:rsid w:val="006B788D"/>
    <w:rsid w:val="006C2AAF"/>
    <w:rsid w:val="006C3165"/>
    <w:rsid w:val="006C7AD4"/>
    <w:rsid w:val="006D1F0E"/>
    <w:rsid w:val="006D5FBA"/>
    <w:rsid w:val="006F742E"/>
    <w:rsid w:val="00706F1B"/>
    <w:rsid w:val="00713ABE"/>
    <w:rsid w:val="00720F1C"/>
    <w:rsid w:val="00725100"/>
    <w:rsid w:val="007253F0"/>
    <w:rsid w:val="00735B38"/>
    <w:rsid w:val="007361E5"/>
    <w:rsid w:val="007772BC"/>
    <w:rsid w:val="00790511"/>
    <w:rsid w:val="0079619F"/>
    <w:rsid w:val="007B393D"/>
    <w:rsid w:val="007B7814"/>
    <w:rsid w:val="007B7B01"/>
    <w:rsid w:val="007C1C43"/>
    <w:rsid w:val="007C4E9F"/>
    <w:rsid w:val="007E01CB"/>
    <w:rsid w:val="007E1BF2"/>
    <w:rsid w:val="007E2176"/>
    <w:rsid w:val="007F00F7"/>
    <w:rsid w:val="007F2B45"/>
    <w:rsid w:val="008003A4"/>
    <w:rsid w:val="00803B03"/>
    <w:rsid w:val="00820153"/>
    <w:rsid w:val="008201E4"/>
    <w:rsid w:val="008626E2"/>
    <w:rsid w:val="00877ADF"/>
    <w:rsid w:val="00893839"/>
    <w:rsid w:val="008B6E35"/>
    <w:rsid w:val="008C050D"/>
    <w:rsid w:val="008F4B23"/>
    <w:rsid w:val="009141F0"/>
    <w:rsid w:val="009264A4"/>
    <w:rsid w:val="009300E0"/>
    <w:rsid w:val="00933F85"/>
    <w:rsid w:val="00963E21"/>
    <w:rsid w:val="009746AF"/>
    <w:rsid w:val="00985B23"/>
    <w:rsid w:val="009B61F6"/>
    <w:rsid w:val="009C331A"/>
    <w:rsid w:val="009C3FE0"/>
    <w:rsid w:val="009C72BF"/>
    <w:rsid w:val="009D7E5C"/>
    <w:rsid w:val="00A04EDC"/>
    <w:rsid w:val="00A0544C"/>
    <w:rsid w:val="00A2393C"/>
    <w:rsid w:val="00A402A1"/>
    <w:rsid w:val="00A43239"/>
    <w:rsid w:val="00A45327"/>
    <w:rsid w:val="00A45DEB"/>
    <w:rsid w:val="00A535E0"/>
    <w:rsid w:val="00A53921"/>
    <w:rsid w:val="00A671C7"/>
    <w:rsid w:val="00A70101"/>
    <w:rsid w:val="00A846C1"/>
    <w:rsid w:val="00A936F2"/>
    <w:rsid w:val="00AE2383"/>
    <w:rsid w:val="00B058D6"/>
    <w:rsid w:val="00B116F0"/>
    <w:rsid w:val="00B176E1"/>
    <w:rsid w:val="00B227D0"/>
    <w:rsid w:val="00B32E0B"/>
    <w:rsid w:val="00B44ACC"/>
    <w:rsid w:val="00B62241"/>
    <w:rsid w:val="00BB6EE6"/>
    <w:rsid w:val="00BC2831"/>
    <w:rsid w:val="00BC41CD"/>
    <w:rsid w:val="00BC7D74"/>
    <w:rsid w:val="00BE261B"/>
    <w:rsid w:val="00BE452B"/>
    <w:rsid w:val="00C0778E"/>
    <w:rsid w:val="00C10A05"/>
    <w:rsid w:val="00C154E7"/>
    <w:rsid w:val="00C262C4"/>
    <w:rsid w:val="00C36C27"/>
    <w:rsid w:val="00C47E20"/>
    <w:rsid w:val="00C47FC8"/>
    <w:rsid w:val="00C501D9"/>
    <w:rsid w:val="00C61FC5"/>
    <w:rsid w:val="00C85344"/>
    <w:rsid w:val="00C85755"/>
    <w:rsid w:val="00CA0FD2"/>
    <w:rsid w:val="00CB0BE0"/>
    <w:rsid w:val="00CE72A8"/>
    <w:rsid w:val="00D05005"/>
    <w:rsid w:val="00D05DDB"/>
    <w:rsid w:val="00D1043C"/>
    <w:rsid w:val="00D1092B"/>
    <w:rsid w:val="00D2345F"/>
    <w:rsid w:val="00D24BB9"/>
    <w:rsid w:val="00D56545"/>
    <w:rsid w:val="00D8614A"/>
    <w:rsid w:val="00D873F3"/>
    <w:rsid w:val="00DC14F4"/>
    <w:rsid w:val="00DE30DA"/>
    <w:rsid w:val="00DE60B6"/>
    <w:rsid w:val="00DF41FC"/>
    <w:rsid w:val="00E04836"/>
    <w:rsid w:val="00E0714E"/>
    <w:rsid w:val="00E11150"/>
    <w:rsid w:val="00E25ACD"/>
    <w:rsid w:val="00E33EDA"/>
    <w:rsid w:val="00E3425D"/>
    <w:rsid w:val="00E472C7"/>
    <w:rsid w:val="00E5203E"/>
    <w:rsid w:val="00E52101"/>
    <w:rsid w:val="00E751B6"/>
    <w:rsid w:val="00E77A83"/>
    <w:rsid w:val="00E83EEB"/>
    <w:rsid w:val="00E842C3"/>
    <w:rsid w:val="00E85898"/>
    <w:rsid w:val="00EC27FA"/>
    <w:rsid w:val="00EC3257"/>
    <w:rsid w:val="00EC6D5A"/>
    <w:rsid w:val="00EC6E75"/>
    <w:rsid w:val="00ED79EA"/>
    <w:rsid w:val="00EE6815"/>
    <w:rsid w:val="00EF19CD"/>
    <w:rsid w:val="00EF60C7"/>
    <w:rsid w:val="00F03BF4"/>
    <w:rsid w:val="00F05C55"/>
    <w:rsid w:val="00F16175"/>
    <w:rsid w:val="00F167F3"/>
    <w:rsid w:val="00F23CA6"/>
    <w:rsid w:val="00F46FD3"/>
    <w:rsid w:val="00F521F7"/>
    <w:rsid w:val="00F73FE3"/>
    <w:rsid w:val="00FC51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94FA1"/>
  <w15:docId w15:val="{F75D4988-1826-45D8-8143-51856533E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basedOn w:val="DefaultParagraphFont"/>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basedOn w:val="DefaultParagraphFont"/>
    <w:rsid w:val="001D7CF0"/>
    <w:rPr>
      <w:b/>
    </w:rPr>
  </w:style>
  <w:style w:type="paragraph" w:styleId="Footer">
    <w:name w:val="footer"/>
    <w:basedOn w:val="DWNormal"/>
    <w:link w:val="FooterChar"/>
    <w:rsid w:val="001D7CF0"/>
    <w:pPr>
      <w:spacing w:before="220"/>
    </w:pPr>
  </w:style>
  <w:style w:type="character" w:customStyle="1" w:styleId="FooterCaption">
    <w:name w:val="Footer Caption"/>
    <w:basedOn w:val="DefaultParagraphFont"/>
    <w:rsid w:val="001D7CF0"/>
    <w:rPr>
      <w:sz w:val="12"/>
    </w:rPr>
  </w:style>
  <w:style w:type="character" w:styleId="FootnoteReference">
    <w:name w:val="footnote reference"/>
    <w:basedOn w:val="DefaultParagraphFont"/>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basedOn w:val="DefaultParagraphFont"/>
    <w:rsid w:val="001D7CF0"/>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basedOn w:val="DefaultParagraphFont"/>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basedOn w:val="DefaultParagraphFont"/>
    <w:rsid w:val="001D7CF0"/>
    <w:rPr>
      <w:b/>
      <w:u w:val="none"/>
    </w:rPr>
  </w:style>
  <w:style w:type="character" w:customStyle="1" w:styleId="PostTown">
    <w:name w:val="Post Town"/>
    <w:basedOn w:val="DefaultParagraphFont"/>
    <w:rsid w:val="001D7CF0"/>
    <w:rPr>
      <w:smallCaps/>
    </w:rPr>
  </w:style>
  <w:style w:type="character" w:customStyle="1" w:styleId="ProtectiveMarking">
    <w:name w:val="Protective Marking"/>
    <w:basedOn w:val="DefaultParagraphFont"/>
    <w:rsid w:val="001D7CF0"/>
    <w:rPr>
      <w:b/>
      <w:caps/>
    </w:rPr>
  </w:style>
  <w:style w:type="character" w:customStyle="1" w:styleId="ReferenceDate">
    <w:name w:val="Reference/Date"/>
    <w:basedOn w:val="DefaultParagraphFont"/>
    <w:rsid w:val="001D7CF0"/>
    <w:rPr>
      <w:rFonts w:ascii="Arial" w:hAnsi="Arial"/>
      <w:spacing w:val="0"/>
      <w:sz w:val="20"/>
    </w:rPr>
  </w:style>
  <w:style w:type="character" w:customStyle="1" w:styleId="DWHdgSubject">
    <w:name w:val="DW Hdg Subject"/>
    <w:basedOn w:val="DefaultParagraphFon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uiPriority w:val="59"/>
    <w:rsid w:val="006D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13ABE"/>
    <w:rPr>
      <w:rFonts w:ascii="Tahoma" w:hAnsi="Tahoma" w:cs="Tahoma"/>
      <w:sz w:val="16"/>
      <w:szCs w:val="16"/>
    </w:rPr>
  </w:style>
  <w:style w:type="character" w:customStyle="1" w:styleId="BalloonTextChar">
    <w:name w:val="Balloon Text Char"/>
    <w:basedOn w:val="DefaultParagraphFont"/>
    <w:link w:val="BalloonText"/>
    <w:rsid w:val="00713ABE"/>
    <w:rPr>
      <w:rFonts w:ascii="Tahoma" w:hAnsi="Tahoma" w:cs="Tahoma"/>
      <w:kern w:val="22"/>
      <w:sz w:val="16"/>
      <w:szCs w:val="16"/>
      <w:lang w:eastAsia="en-US"/>
    </w:rPr>
  </w:style>
  <w:style w:type="paragraph" w:styleId="ListParagraph">
    <w:name w:val="List Paragraph"/>
    <w:basedOn w:val="Normal"/>
    <w:uiPriority w:val="34"/>
    <w:qFormat/>
    <w:rsid w:val="00713ABE"/>
    <w:pPr>
      <w:ind w:left="720"/>
      <w:contextualSpacing/>
    </w:pPr>
  </w:style>
  <w:style w:type="character" w:styleId="CommentReference">
    <w:name w:val="annotation reference"/>
    <w:basedOn w:val="DefaultParagraphFont"/>
    <w:rsid w:val="00A671C7"/>
    <w:rPr>
      <w:sz w:val="16"/>
      <w:szCs w:val="16"/>
    </w:rPr>
  </w:style>
  <w:style w:type="paragraph" w:styleId="CommentText">
    <w:name w:val="annotation text"/>
    <w:basedOn w:val="Normal"/>
    <w:link w:val="CommentTextChar"/>
    <w:rsid w:val="00A671C7"/>
    <w:rPr>
      <w:sz w:val="20"/>
    </w:rPr>
  </w:style>
  <w:style w:type="character" w:customStyle="1" w:styleId="CommentTextChar">
    <w:name w:val="Comment Text Char"/>
    <w:basedOn w:val="DefaultParagraphFont"/>
    <w:link w:val="CommentText"/>
    <w:rsid w:val="00A671C7"/>
    <w:rPr>
      <w:rFonts w:ascii="Arial" w:hAnsi="Arial"/>
      <w:kern w:val="22"/>
      <w:lang w:eastAsia="en-US"/>
    </w:rPr>
  </w:style>
  <w:style w:type="paragraph" w:styleId="CommentSubject">
    <w:name w:val="annotation subject"/>
    <w:basedOn w:val="CommentText"/>
    <w:next w:val="CommentText"/>
    <w:link w:val="CommentSubjectChar"/>
    <w:rsid w:val="00A671C7"/>
    <w:rPr>
      <w:b/>
      <w:bCs/>
    </w:rPr>
  </w:style>
  <w:style w:type="character" w:customStyle="1" w:styleId="CommentSubjectChar">
    <w:name w:val="Comment Subject Char"/>
    <w:basedOn w:val="CommentTextChar"/>
    <w:link w:val="CommentSubject"/>
    <w:rsid w:val="00A671C7"/>
    <w:rPr>
      <w:rFonts w:ascii="Arial" w:hAnsi="Arial"/>
      <w:b/>
      <w:bCs/>
      <w:kern w:val="22"/>
      <w:lang w:eastAsia="en-US"/>
    </w:rPr>
  </w:style>
  <w:style w:type="character" w:customStyle="1" w:styleId="FooterChar">
    <w:name w:val="Footer Char"/>
    <w:basedOn w:val="DefaultParagraphFont"/>
    <w:link w:val="Footer"/>
    <w:rsid w:val="00F167F3"/>
    <w:rPr>
      <w:rFonts w:ascii="Arial" w:hAnsi="Arial"/>
      <w:kern w:val="22"/>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635236">
      <w:bodyDiv w:val="1"/>
      <w:marLeft w:val="0"/>
      <w:marRight w:val="0"/>
      <w:marTop w:val="0"/>
      <w:marBottom w:val="0"/>
      <w:divBdr>
        <w:top w:val="none" w:sz="0" w:space="0" w:color="auto"/>
        <w:left w:val="none" w:sz="0" w:space="0" w:color="auto"/>
        <w:bottom w:val="none" w:sz="0" w:space="0" w:color="auto"/>
        <w:right w:val="none" w:sz="0" w:space="0" w:color="auto"/>
      </w:divBdr>
    </w:div>
    <w:div w:id="1399865771">
      <w:bodyDiv w:val="1"/>
      <w:marLeft w:val="0"/>
      <w:marRight w:val="0"/>
      <w:marTop w:val="0"/>
      <w:marBottom w:val="0"/>
      <w:divBdr>
        <w:top w:val="none" w:sz="0" w:space="0" w:color="auto"/>
        <w:left w:val="none" w:sz="0" w:space="0" w:color="auto"/>
        <w:bottom w:val="none" w:sz="0" w:space="0" w:color="auto"/>
        <w:right w:val="none" w:sz="0" w:space="0" w:color="auto"/>
      </w:divBdr>
    </w:div>
    <w:div w:id="167263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cui6-uk.diif.r.mil.uk/_layouts/MOD%20File%20Templates/MOD%20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0E6152505B758E43AC13664A7C54D842" ma:contentTypeVersion="59" ma:contentTypeDescription="Designed to facilitate the storage of MOD Documents with a '.doc' or '.docx' extension" ma:contentTypeScope="" ma:versionID="e250bf5ab4b068ac9e536fef0f193853">
  <xsd:schema xmlns:xsd="http://www.w3.org/2001/XMLSchema" xmlns:xs="http://www.w3.org/2001/XMLSchema" xmlns:p="http://schemas.microsoft.com/office/2006/metadata/properties" xmlns:ns1="http://schemas.microsoft.com/sharepoint/v3" xmlns:ns2="http://schemas.microsoft.com/sharepoint.v3" xmlns:ns3="04738c6d-ecc8-46f1-821f-82e308eab3d9" xmlns:ns4="d3b5b939-5485-4043-aec4-684844950ce0" xmlns:ns5="http://schemas.microsoft.com/sharepoint/v3/fields" xmlns:ns6="bbdb954e-fd5d-407f-9974-6b2b09a79214" xmlns:ns7="1f7ce0f8-c10a-410e-8eb6-365ff7a711fc" xmlns:ns8="0f792f7a-3bf8-420e-b6f1-2241227c05cd" targetNamespace="http://schemas.microsoft.com/office/2006/metadata/properties" ma:root="true" ma:fieldsID="1a21d390884dd7555b707c4bcf6e218b" ns1:_="" ns2:_="" ns3:_="" ns4:_="" ns5:_="" ns6:_="" ns7:_="" ns8:_="">
    <xsd:import namespace="http://schemas.microsoft.com/sharepoint/v3"/>
    <xsd:import namespace="http://schemas.microsoft.com/sharepoint.v3"/>
    <xsd:import namespace="04738c6d-ecc8-46f1-821f-82e308eab3d9"/>
    <xsd:import namespace="d3b5b939-5485-4043-aec4-684844950ce0"/>
    <xsd:import namespace="http://schemas.microsoft.com/sharepoint/v3/fields"/>
    <xsd:import namespace="bbdb954e-fd5d-407f-9974-6b2b09a79214"/>
    <xsd:import namespace="1f7ce0f8-c10a-410e-8eb6-365ff7a711fc"/>
    <xsd:import namespace="0f792f7a-3bf8-420e-b6f1-2241227c05cd"/>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wic_System_Copyright" minOccurs="0"/>
                <xsd:element ref="ns1:Status" minOccurs="0"/>
                <xsd:element ref="ns3:CreatedOriginated"/>
                <xsd:element ref="ns1:SecurityDescriptors" minOccurs="0"/>
                <xsd:element ref="ns3:SecurityNonUKConstraints" minOccurs="0"/>
                <xsd:element ref="ns3:DPADisclosabilityIndicator" minOccurs="0"/>
                <xsd:element ref="ns3:DPAExemption" minOccurs="0"/>
                <xsd:element ref="ns3:EIRDisclosabilityIndicator" minOccurs="0"/>
                <xsd:element ref="ns3:FOIExemption" minOccurs="0"/>
                <xsd:element ref="ns3:FOIPublicationDate" minOccurs="0"/>
                <xsd:element ref="ns3:FOIReleasedOnRequest" minOccurs="0"/>
                <xsd:element ref="ns3:PolicyIdentifier" minOccurs="0"/>
                <xsd:element ref="ns6:Declared" minOccurs="0"/>
                <xsd:element ref="ns6:DocId" minOccurs="0"/>
                <xsd:element ref="ns6:MeridioUrl" minOccurs="0"/>
                <xsd:element ref="ns6:MeridioEDCStatus" minOccurs="0"/>
                <xsd:element ref="ns6:MeridioEDCData" minOccurs="0"/>
                <xsd:element ref="ns3:EIRException" minOccurs="0"/>
                <xsd:element ref="ns6:Level_x0020_4"/>
                <xsd:element ref="ns6:Contract_x0020_Number"/>
                <xsd:element ref="ns6:Contract_x0020_Keywords"/>
                <xsd:element ref="ns1:RetentionCategory" minOccurs="0"/>
                <xsd:element ref="ns5:_Status"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7:MediaServiceMetadata" minOccurs="0"/>
                <xsd:element ref="ns7:MediaServiceFastMetadata" minOccurs="0"/>
                <xsd:element ref="ns8:SharedWithDetails" minOccurs="0"/>
                <xsd:element ref="ns7:MediaServiceAutoKeyPoints" minOccurs="0"/>
                <xsd:element ref="ns7: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tus" ma:index="12" nillable="true" ma:displayName="Status" ma:description="The status of the current object" ma:format="RadioButtons" ma:internalName="Status" ma:readOnly="false">
      <xsd:simpleType>
        <xsd:restriction base="dms:Choice">
          <xsd:enumeration value="Draft"/>
          <xsd:enumeration value="Under Review"/>
          <xsd:enumeration value="Final"/>
          <xsd:enumeration value="Superseeded"/>
        </xsd:restriction>
      </xsd:simpleType>
    </xsd:element>
    <xsd:element name="SecurityDescriptors" ma:index="14"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37"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3" ma:displayName="Created (Originated)" ma:default="" ma:description="The date the document was originally created." ma:format="DateTime" ma:internalName="CreatedOriginated" ma:readOnly="false">
      <xsd:simpleType>
        <xsd:restriction base="dms:DateTime"/>
      </xsd:simpleType>
    </xsd:element>
    <xsd:element name="SecurityNonUKConstraints" ma:index="15" nillable="true" ma:displayName="Security Non-UK Constraints" ma:default="" ma:description="For non-UK sourced documents the security classification and/or constraints that apply." ma:format="RadioButtons" ma:internalName="SecurityNonUKConstraints" ma:readOnly="false">
      <xsd:simpleType>
        <xsd:restriction base="dms:Choice">
          <xsd:enumeration value="None"/>
          <xsd:enumeration value="NATO"/>
          <xsd:enumeration value="WEU"/>
        </xsd:restriction>
      </xsd:simpleType>
    </xsd:element>
    <xsd:element name="DPADisclosabilityIndicator" ma:index="16"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7"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EIRDisclosabilityIndicator" ma:index="18"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33"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TaxCatchAll" ma:index="40" nillable="true" ma:displayName="Taxonomy Catch All Column" ma:hidden="true" ma:list="{1a5367da-e9df-4532-84b6-f55a20b20dae}" ma:internalName="TaxCatchAll" ma:showField="CatchAllData"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TaxKeywordTaxHTField" ma:index="41"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42" nillable="true" ma:displayName="Taxonomy Catch All Column1" ma:hidden="true" ma:list="{1a5367da-e9df-4532-84b6-f55a20b20dae}" ma:internalName="TaxCatchAllLabel" ma:readOnly="true" ma:showField="CatchAllDataLabel"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4" ma:taxonomy="true" ma:internalName="d67af1ddf1dc47979d20c0eae491b81b" ma:taxonomyFieldName="fileplanid" ma:displayName="UK Defence File Plan" ma:readOnly="false" ma:default="4;#04_Deliver|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5" ma:taxonomy="true" ma:internalName="m79e07ce3690491db9121a08429fad40" ma:taxonomyFieldName="Business_x0020_Owner" ma:displayName="Business Owner" ma:readOnly="false" ma:default="3;#DE&amp;S Director ISTAR|3b427f84-a660-4bff-be02-53524bb3ab7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6" ma:taxonomy="true" ma:internalName="n1f450bd0d644ca798bdc94626fdef4f" ma:taxonomyFieldName="Subject_x0020_Keywords" ma:displayName="Subject Keywords" ma:readOnly="false" ma:default="2;#Situational Awareness Command and Control Delivery Team|b1dee2e5-d643-46aa-9b40-4a23efb0ab4a"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7" ma:taxonomy="true" ma:internalName="i71a74d1f9984201b479cc08077b6323" ma:taxonomyFieldName="Subject_x0020_Category" ma:displayName="Subject Category" ma:readOnly="false" ma:default="5;#Project management|0003881c-274a-41a5-9cf7-c5fda47485ca"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b5b939-5485-4043-aec4-684844950ce0" elementFormDefault="qualified">
    <xsd:import namespace="http://schemas.microsoft.com/office/2006/documentManagement/types"/>
    <xsd:import namespace="http://schemas.microsoft.com/office/infopath/2007/PartnerControls"/>
    <xsd:element name="Local_x0020_KeywordsOOB" ma:index="7" nillable="true" ma:displayName="Local Keywords:" ma:default="08-Link_16_SAC"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06-Interoperability"/>
                        <xsd:enumeration value="08-Link_16_SAC"/>
                        <xsd:enumeration value="Link 16 SAC"/>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1" nillable="true" ma:displayName="Copyright" ma:internalName="wic_System_Copyright">
      <xsd:simpleType>
        <xsd:restriction base="dms:Text"/>
      </xsd:simpleType>
    </xsd:element>
    <xsd:element name="_Status" ma:index="3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bbdb954e-fd5d-407f-9974-6b2b09a79214" elementFormDefault="qualified">
    <xsd:import namespace="http://schemas.microsoft.com/office/2006/documentManagement/types"/>
    <xsd:import namespace="http://schemas.microsoft.com/office/infopath/2007/PartnerControls"/>
    <xsd:element name="Declared" ma:index="28" nillable="true" ma:displayName="Declared" ma:default="FALSE" ma:hidden="true" ma:internalName="Declared" ma:readOnly="false">
      <xsd:simpleType>
        <xsd:restriction base="dms:Boolean"/>
      </xsd:simpleType>
    </xsd:element>
    <xsd:element name="DocId" ma:index="29" nillable="true" ma:displayName="DocId" ma:hidden="true" ma:internalName="DocId" ma:readOnly="false">
      <xsd:simpleType>
        <xsd:restriction base="dms:Text"/>
      </xsd:simpleType>
    </xsd:element>
    <xsd:element name="MeridioUrl" ma:index="30" nillable="true" ma:displayName="MeridioUrl" ma:hidden="true" ma:internalName="MeridioUrl" ma:readOnly="false">
      <xsd:simpleType>
        <xsd:restriction base="dms:Text"/>
      </xsd:simpleType>
    </xsd:element>
    <xsd:element name="MeridioEDCStatus" ma:index="31" nillable="true" ma:displayName="MeridioEDCStatus" ma:hidden="true" ma:internalName="MeridioEDCStatus" ma:readOnly="false">
      <xsd:simpleType>
        <xsd:restriction base="dms:Text"/>
      </xsd:simpleType>
    </xsd:element>
    <xsd:element name="MeridioEDCData" ma:index="32" nillable="true" ma:displayName="MeridioEDCData" ma:hidden="true" ma:internalName="MeridioEDCData" ma:readOnly="false">
      <xsd:simpleType>
        <xsd:restriction base="dms:Text"/>
      </xsd:simpleType>
    </xsd:element>
    <xsd:element name="Level_x0020_4" ma:index="34" ma:displayName="Level 4" ma:format="RadioButtons" ma:internalName="Level_x0020_4" ma:readOnly="false">
      <xsd:simpleType>
        <xsd:restriction base="dms:Choice">
          <xsd:enumeration value="Contracts"/>
          <xsd:enumeration value="Correspondance"/>
          <xsd:enumeration value="ITT"/>
          <xsd:enumeration value="Meetings"/>
          <xsd:enumeration value="PQQ"/>
          <xsd:enumeration value="SOW"/>
          <xsd:enumeration value="TAF"/>
        </xsd:restriction>
      </xsd:simpleType>
    </xsd:element>
    <xsd:element name="Contract_x0020_Number" ma:index="35" ma:displayName="Contract Number" ma:internalName="Contract_x0020_Number" ma:readOnly="false">
      <xsd:simpleType>
        <xsd:restriction base="dms:Text">
          <xsd:maxLength value="255"/>
        </xsd:restriction>
      </xsd:simpleType>
    </xsd:element>
    <xsd:element name="Contract_x0020_Keywords" ma:index="36" ma:displayName="Contract Keywords" ma:format="RadioButtons" ma:internalName="Contract_x0020_Keywords" ma:readOnly="false">
      <xsd:simpleType>
        <xsd:restriction base="dms:Choice">
          <xsd:enumeration value="Advertising &amp; EOI"/>
          <xsd:enumeration value="Admendment"/>
          <xsd:enumeration value="Correspondance"/>
          <xsd:enumeration value="ITT"/>
          <xsd:enumeration value="Master Contract"/>
          <xsd:enumeration value="Minutes"/>
          <xsd:enumeration value="Tender"/>
          <xsd:enumeration value="Transparency"/>
        </xsd:restriction>
      </xsd:simpleType>
    </xsd:element>
  </xsd:schema>
  <xsd:schema xmlns:xsd="http://www.w3.org/2001/XMLSchema" xmlns:xs="http://www.w3.org/2001/XMLSchema" xmlns:dms="http://schemas.microsoft.com/office/2006/documentManagement/types" xmlns:pc="http://schemas.microsoft.com/office/infopath/2007/PartnerControls" targetNamespace="1f7ce0f8-c10a-410e-8eb6-365ff7a711fc" elementFormDefault="qualified">
    <xsd:import namespace="http://schemas.microsoft.com/office/2006/documentManagement/types"/>
    <xsd:import namespace="http://schemas.microsoft.com/office/infopath/2007/PartnerControls"/>
    <xsd:element name="MediaServiceMetadata" ma:index="49" nillable="true" ma:displayName="MediaServiceMetadata" ma:hidden="true" ma:internalName="MediaServiceMetadata" ma:readOnly="true">
      <xsd:simpleType>
        <xsd:restriction base="dms:Note"/>
      </xsd:simpleType>
    </xsd:element>
    <xsd:element name="MediaServiceFastMetadata" ma:index="50" nillable="true" ma:displayName="MediaServiceFastMetadata" ma:hidden="true" ma:internalName="MediaServiceFastMetadata" ma:readOnly="true">
      <xsd:simpleType>
        <xsd:restriction base="dms:Note"/>
      </xsd:simpleType>
    </xsd:element>
    <xsd:element name="MediaServiceAutoKeyPoints" ma:index="52" nillable="true" ma:displayName="MediaServiceAutoKeyPoints" ma:hidden="true" ma:internalName="MediaServiceAutoKeyPoints" ma:readOnly="true">
      <xsd:simpleType>
        <xsd:restriction base="dms:Note"/>
      </xsd:simpleType>
    </xsd:element>
    <xsd:element name="MediaServiceKeyPoints" ma:index="5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792f7a-3bf8-420e-b6f1-2241227c05cd" elementFormDefault="qualified">
    <xsd:import namespace="http://schemas.microsoft.com/office/2006/documentManagement/types"/>
    <xsd:import namespace="http://schemas.microsoft.com/office/infopath/2007/PartnerControls"/>
    <xsd:element name="SharedWithDetails" ma:index="5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8"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Status xmlns="http://schemas.microsoft.com/sharepoint/v3">Final</Status>
    <SecurityDescriptors xmlns="http://schemas.microsoft.com/sharepoint/v3">None</SecurityDescriptors>
    <UKProtectiveMarking xmlns="04738c6d-ecc8-46f1-821f-82e308eab3d9">OFFICIAL-SENSITIVE</UKProtectiveMarking>
    <PolicyIdentifier xmlns="04738c6d-ecc8-46f1-821f-82e308eab3d9">UK</PolicyIdentifier>
    <DPADisclosabilityIndicator xmlns="04738c6d-ecc8-46f1-821f-82e308eab3d9" xsi:nil="true"/>
    <FOIReleasedOnRequest xmlns="04738c6d-ecc8-46f1-821f-82e308eab3d9" xsi:nil="true"/>
    <EIRException xmlns="04738c6d-ecc8-46f1-821f-82e308eab3d9" xsi:nil="true"/>
    <DPAExemption xmlns="04738c6d-ecc8-46f1-821f-82e308eab3d9" xsi:nil="true"/>
    <SecurityNonUKConstraints xmlns="04738c6d-ecc8-46f1-821f-82e308eab3d9" xsi:nil="true"/>
    <FOIPublicationDate xmlns="04738c6d-ecc8-46f1-821f-82e308eab3d9" xsi:nil="true"/>
    <DocumentVersion xmlns="04738c6d-ecc8-46f1-821f-82e308eab3d9" xsi:nil="true"/>
    <EIRDisclosabilityIndicator xmlns="04738c6d-ecc8-46f1-821f-82e308eab3d9" xsi:nil="true"/>
    <CreatedOriginated xmlns="04738c6d-ecc8-46f1-821f-82e308eab3d9">2017-10-31T00:00:00+00:00</CreatedOriginated>
    <FOIExemption xmlns="04738c6d-ecc8-46f1-821f-82e308eab3d9">No</FOIExemption>
    <DocId xmlns="bbdb954e-fd5d-407f-9974-6b2b09a79214" xsi:nil="true"/>
    <MeridioEDCStatus xmlns="bbdb954e-fd5d-407f-9974-6b2b09a79214">transferpending</MeridioEDCStatus>
    <Local_x0020_KeywordsOOB xmlns="d3b5b939-5485-4043-aec4-684844950ce0">
      <Value>TACC</Value>
    </Local_x0020_KeywordsOOB>
    <MeridioUrl xmlns="bbdb954e-fd5d-407f-9974-6b2b09a79214" xsi:nil="true"/>
    <Declared xmlns="bbdb954e-fd5d-407f-9974-6b2b09a79214">false</Declared>
    <MeridioEDCData xmlns="bbdb954e-fd5d-407f-9974-6b2b09a79214">Fri, 20 Jan 2017 14:29:08 GMT</MeridioEDCData>
    <Level_x0020_4 xmlns="bbdb954e-fd5d-407f-9974-6b2b09a79214">ITT</Level_x0020_4>
    <Contract_x0020_Number xmlns="bbdb954e-fd5d-407f-9974-6b2b09a79214">SACC/00067</Contract_x0020_Number>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Contract_x0020_Keywords xmlns="bbdb954e-fd5d-407f-9974-6b2b09a79214">ITT</Contract_x0020_Keywords>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Situational Awareness Command and Control Delivery Team</TermName>
          <TermId xmlns="http://schemas.microsoft.com/office/infopath/2007/PartnerControls">b1dee2e5-d643-46aa-9b40-4a23efb0ab4a</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ISTAR</TermName>
          <TermId xmlns="http://schemas.microsoft.com/office/infopath/2007/PartnerControls">3b427f84-a660-4bff-be02-53524bb3ab74</TermId>
        </TermInfo>
      </Terms>
    </m79e07ce3690491db9121a08429fad40>
    <TaxCatchAll xmlns="04738c6d-ecc8-46f1-821f-82e308eab3d9">
      <Value>5</Value>
      <Value>4</Value>
      <Value>3</Value>
      <Value>2</Value>
    </TaxCatchAll>
    <CategoryDescription xmlns="http://schemas.microsoft.com/sharepoint.v3" xsi:nil="true"/>
    <RetentionCategory xmlns="http://schemas.microsoft.com/sharepoint/v3">None</RetentionCategory>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Project management</TermName>
          <TermId xmlns="http://schemas.microsoft.com/office/infopath/2007/PartnerControls">0003881c-274a-41a5-9cf7-c5fda47485ca</TermId>
        </TermInfo>
      </Terms>
    </i71a74d1f9984201b479cc08077b6323>
    <wic_System_Copyright xmlns="http://schemas.microsoft.com/sharepoint/v3/fields" xsi:nil="true"/>
  </documentManagement>
</p:properties>
</file>

<file path=customXml/item5.xml><?xml version="1.0" encoding="utf-8"?>
<?mso-contentType ?>
<SharedContentType xmlns="Microsoft.SharePoint.Taxonomy.ContentTypeSync" SourceId="a9ff0b8c-5d72-4038-b2cd-f57bf310c636" ContentTypeId="0x010100D9D675D6CDED02438DC7CFF78D2F29E4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72C65-29B1-4340-92B8-CCB35FCFDF6B}">
  <ds:schemaRefs>
    <ds:schemaRef ds:uri="http://schemas.microsoft.com/sharepoint/events"/>
  </ds:schemaRefs>
</ds:datastoreItem>
</file>

<file path=customXml/itemProps2.xml><?xml version="1.0" encoding="utf-8"?>
<ds:datastoreItem xmlns:ds="http://schemas.openxmlformats.org/officeDocument/2006/customXml" ds:itemID="{C2FDA749-3D16-4EA0-A40B-68D5ED580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d3b5b939-5485-4043-aec4-684844950ce0"/>
    <ds:schemaRef ds:uri="http://schemas.microsoft.com/sharepoint/v3/fields"/>
    <ds:schemaRef ds:uri="bbdb954e-fd5d-407f-9974-6b2b09a79214"/>
    <ds:schemaRef ds:uri="1f7ce0f8-c10a-410e-8eb6-365ff7a711fc"/>
    <ds:schemaRef ds:uri="0f792f7a-3bf8-420e-b6f1-2241227c05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B066A8-F939-47C4-BD26-3C0C47B6BAA9}">
  <ds:schemaRefs>
    <ds:schemaRef ds:uri="office.server.policy"/>
  </ds:schemaRefs>
</ds:datastoreItem>
</file>

<file path=customXml/itemProps4.xml><?xml version="1.0" encoding="utf-8"?>
<ds:datastoreItem xmlns:ds="http://schemas.openxmlformats.org/officeDocument/2006/customXml" ds:itemID="{8B0562BE-99D2-4600-B3C3-92E2F94E19FC}">
  <ds:schemaRefs>
    <ds:schemaRef ds:uri="http://schemas.microsoft.com/office/2006/metadata/properties"/>
    <ds:schemaRef ds:uri="http://schemas.microsoft.com/office/infopath/2007/PartnerControls"/>
    <ds:schemaRef ds:uri="http://schemas.microsoft.com/sharepoint/v3"/>
    <ds:schemaRef ds:uri="04738c6d-ecc8-46f1-821f-82e308eab3d9"/>
    <ds:schemaRef ds:uri="bbdb954e-fd5d-407f-9974-6b2b09a79214"/>
    <ds:schemaRef ds:uri="d3b5b939-5485-4043-aec4-684844950ce0"/>
    <ds:schemaRef ds:uri="http://schemas.microsoft.com/sharepoint/v3/fields"/>
    <ds:schemaRef ds:uri="http://schemas.microsoft.com/sharepoint.v3"/>
  </ds:schemaRefs>
</ds:datastoreItem>
</file>

<file path=customXml/itemProps5.xml><?xml version="1.0" encoding="utf-8"?>
<ds:datastoreItem xmlns:ds="http://schemas.openxmlformats.org/officeDocument/2006/customXml" ds:itemID="{C6CA4408-E98F-40D0-923A-ED1B7B506952}">
  <ds:schemaRefs>
    <ds:schemaRef ds:uri="Microsoft.SharePoint.Taxonomy.ContentTypeSync"/>
  </ds:schemaRefs>
</ds:datastoreItem>
</file>

<file path=customXml/itemProps6.xml><?xml version="1.0" encoding="utf-8"?>
<ds:datastoreItem xmlns:ds="http://schemas.openxmlformats.org/officeDocument/2006/customXml" ds:itemID="{4B92D753-9783-46DB-A9E6-CC929B5928CC}">
  <ds:schemaRefs>
    <ds:schemaRef ds:uri="http://schemas.microsoft.com/sharepoint/v3/contenttype/forms"/>
  </ds:schemaRefs>
</ds:datastoreItem>
</file>

<file path=customXml/itemProps7.xml><?xml version="1.0" encoding="utf-8"?>
<ds:datastoreItem xmlns:ds="http://schemas.openxmlformats.org/officeDocument/2006/customXml" ds:itemID="{D361F135-B218-485B-9942-0C95EF887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MOD%20Document</Template>
  <TotalTime>0</TotalTime>
  <Pages>1</Pages>
  <Words>1035</Words>
  <Characters>5905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TACC_KPIs</vt:lpstr>
    </vt:vector>
  </TitlesOfParts>
  <Company>Ministry of Defence</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TACC_KPIs</dc:title>
  <dc:creator>ScobleS397</dc:creator>
  <cp:lastModifiedBy>Probert, Deborah Mrs (DES SACC-Comrcl-2)</cp:lastModifiedBy>
  <cp:revision>4</cp:revision>
  <cp:lastPrinted>2020-03-16T09:52:00Z</cp:lastPrinted>
  <dcterms:created xsi:type="dcterms:W3CDTF">2020-12-17T17:14:00Z</dcterms:created>
  <dcterms:modified xsi:type="dcterms:W3CDTF">2020-12-17T18:20:00Z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0x010100D9D675D6CDED02438DC7CFF78D2F29E401000E6152505B758E43AC13664A7C54D842</vt:lpwstr>
  </property>
  <property fmtid="{D5CDD505-2E9C-101B-9397-08002B2CF9AE}" pid="4" name="originalmeridioedcstatus">
    <vt:lpwstr/>
  </property>
  <property fmtid="{D5CDD505-2E9C-101B-9397-08002B2CF9AE}" pid="5" name="originalmeridioedcdata">
    <vt:lpwstr/>
  </property>
  <property fmtid="{D5CDD505-2E9C-101B-9397-08002B2CF9AE}" pid="6" name="Subject Category">
    <vt:lpwstr>5;#Project management|0003881c-274a-41a5-9cf7-c5fda47485ca</vt:lpwstr>
  </property>
  <property fmtid="{D5CDD505-2E9C-101B-9397-08002B2CF9AE}" pid="7" name="_dlc_policyId">
    <vt:lpwstr/>
  </property>
  <property fmtid="{D5CDD505-2E9C-101B-9397-08002B2CF9AE}" pid="8" name="ItemRetentionFormula">
    <vt:lpwstr/>
  </property>
  <property fmtid="{D5CDD505-2E9C-101B-9397-08002B2CF9AE}" pid="9" name="Business Owner">
    <vt:lpwstr>3;#DES ISTAR|3b427f84-a660-4bff-be02-53524bb3ab74</vt:lpwstr>
  </property>
  <property fmtid="{D5CDD505-2E9C-101B-9397-08002B2CF9AE}" pid="10" name="fileplanid">
    <vt:lpwstr>4;#04 Deliver the Unit's objectives|954cf193-6423-4137-9b07-8b4f402d8d43</vt:lpwstr>
  </property>
  <property fmtid="{D5CDD505-2E9C-101B-9397-08002B2CF9AE}" pid="11" name="Subject Keywords">
    <vt:lpwstr>2;#Situational Awareness Command and Control Delivery Team|b1dee2e5-d643-46aa-9b40-4a23efb0ab4a</vt:lpwstr>
  </property>
  <property fmtid="{D5CDD505-2E9C-101B-9397-08002B2CF9AE}" pid="12" name="TaxKeyword">
    <vt:lpwstr/>
  </property>
  <property fmtid="{D5CDD505-2E9C-101B-9397-08002B2CF9AE}" pid="13" name="_DocHome">
    <vt:i4>-864890113</vt:i4>
  </property>
</Properties>
</file>